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C793" w14:textId="6CADF614" w:rsidR="00A1458C" w:rsidRDefault="00A1458C" w:rsidP="00A1458C">
      <w:pPr>
        <w:jc w:val="center"/>
        <w:rPr>
          <w:b/>
          <w:bCs/>
          <w:sz w:val="22"/>
          <w:szCs w:val="22"/>
        </w:rPr>
      </w:pPr>
      <w:r>
        <w:rPr>
          <w:b/>
          <w:bCs/>
          <w:sz w:val="22"/>
          <w:szCs w:val="22"/>
        </w:rPr>
        <w:t>G</w:t>
      </w:r>
      <w:bookmarkStart w:id="0" w:name="_Ref127801510"/>
      <w:bookmarkEnd w:id="0"/>
      <w:r>
        <w:rPr>
          <w:b/>
          <w:bCs/>
          <w:sz w:val="22"/>
          <w:szCs w:val="22"/>
        </w:rPr>
        <w:t>allery of Teaching Applications</w:t>
      </w:r>
    </w:p>
    <w:p w14:paraId="48607CD7" w14:textId="023352F9" w:rsidR="00A1458C" w:rsidRDefault="00975571" w:rsidP="00A1458C">
      <w:pPr>
        <w:jc w:val="center"/>
        <w:rPr>
          <w:b/>
          <w:bCs/>
          <w:sz w:val="22"/>
          <w:szCs w:val="22"/>
        </w:rPr>
      </w:pPr>
      <w:r>
        <w:rPr>
          <w:b/>
          <w:bCs/>
          <w:sz w:val="22"/>
          <w:szCs w:val="22"/>
        </w:rPr>
        <w:t>Module</w:t>
      </w:r>
      <w:r w:rsidR="003A4BAE">
        <w:rPr>
          <w:b/>
          <w:bCs/>
          <w:sz w:val="22"/>
          <w:szCs w:val="22"/>
        </w:rPr>
        <w:t xml:space="preserve">: </w:t>
      </w:r>
      <w:r w:rsidR="003A4BAE" w:rsidRPr="003A4BAE">
        <w:rPr>
          <w:b/>
          <w:bCs/>
          <w:sz w:val="22"/>
          <w:szCs w:val="22"/>
        </w:rPr>
        <w:t>Nonlinear response history analyses of structures</w:t>
      </w:r>
    </w:p>
    <w:p w14:paraId="34EF14B6" w14:textId="52FA5D70" w:rsidR="00F237C9" w:rsidRDefault="00F237C9" w:rsidP="00217727">
      <w:pPr>
        <w:rPr>
          <w:b/>
          <w:bCs/>
          <w:sz w:val="22"/>
          <w:szCs w:val="22"/>
        </w:rPr>
      </w:pPr>
    </w:p>
    <w:p w14:paraId="69DF6AED" w14:textId="0BACB291" w:rsidR="00F237C9" w:rsidRDefault="00F237C9" w:rsidP="00F237C9">
      <w:pPr>
        <w:rPr>
          <w:sz w:val="22"/>
          <w:szCs w:val="22"/>
        </w:rPr>
      </w:pPr>
      <w:r>
        <w:rPr>
          <w:b/>
          <w:bCs/>
          <w:sz w:val="22"/>
          <w:szCs w:val="22"/>
        </w:rPr>
        <w:t xml:space="preserve">Title: </w:t>
      </w:r>
      <w:r w:rsidR="002516B6">
        <w:rPr>
          <w:sz w:val="22"/>
          <w:szCs w:val="22"/>
        </w:rPr>
        <w:t>Nonlinear response history analyses of structures</w:t>
      </w:r>
    </w:p>
    <w:p w14:paraId="482652BD" w14:textId="01410018" w:rsidR="00217727" w:rsidRDefault="00217727" w:rsidP="00F237C9">
      <w:pPr>
        <w:rPr>
          <w:sz w:val="22"/>
          <w:szCs w:val="22"/>
        </w:rPr>
      </w:pPr>
    </w:p>
    <w:p w14:paraId="35AD4D9E" w14:textId="478FBC57" w:rsidR="00217727" w:rsidRPr="00F237C9" w:rsidRDefault="00217727" w:rsidP="00F237C9">
      <w:pPr>
        <w:rPr>
          <w:sz w:val="22"/>
          <w:szCs w:val="22"/>
        </w:rPr>
      </w:pPr>
      <w:r>
        <w:rPr>
          <w:b/>
          <w:bCs/>
          <w:sz w:val="22"/>
          <w:szCs w:val="22"/>
        </w:rPr>
        <w:t xml:space="preserve">Target audience: </w:t>
      </w:r>
      <w:r>
        <w:rPr>
          <w:sz w:val="22"/>
          <w:szCs w:val="22"/>
        </w:rPr>
        <w:t>Graduate students in Structural Engineering with basic knowledge of programing, linear and nonlinear structural analysis.</w:t>
      </w:r>
    </w:p>
    <w:p w14:paraId="422D887E" w14:textId="67DA2C87" w:rsidR="00A1458C" w:rsidRPr="00F237C9" w:rsidRDefault="00A1458C" w:rsidP="00A1458C">
      <w:pPr>
        <w:rPr>
          <w:sz w:val="22"/>
          <w:szCs w:val="22"/>
        </w:rPr>
      </w:pPr>
    </w:p>
    <w:p w14:paraId="37EB2051" w14:textId="1C153E2E" w:rsidR="00A1458C" w:rsidRDefault="00A1458C" w:rsidP="00A1458C">
      <w:pPr>
        <w:rPr>
          <w:b/>
          <w:bCs/>
          <w:sz w:val="22"/>
          <w:szCs w:val="22"/>
        </w:rPr>
      </w:pPr>
      <w:r>
        <w:rPr>
          <w:b/>
          <w:bCs/>
          <w:sz w:val="22"/>
          <w:szCs w:val="22"/>
        </w:rPr>
        <w:t xml:space="preserve">Learning </w:t>
      </w:r>
      <w:r w:rsidR="009672DE">
        <w:rPr>
          <w:b/>
          <w:bCs/>
          <w:sz w:val="22"/>
          <w:szCs w:val="22"/>
        </w:rPr>
        <w:t>o</w:t>
      </w:r>
      <w:r>
        <w:rPr>
          <w:b/>
          <w:bCs/>
          <w:sz w:val="22"/>
          <w:szCs w:val="22"/>
        </w:rPr>
        <w:t>bjectives:</w:t>
      </w:r>
    </w:p>
    <w:p w14:paraId="419ABD92" w14:textId="08B4233E" w:rsidR="000C5AD2" w:rsidRPr="000C5AD2" w:rsidRDefault="000C5AD2" w:rsidP="000C5AD2">
      <w:pPr>
        <w:pStyle w:val="ListParagraph"/>
        <w:numPr>
          <w:ilvl w:val="0"/>
          <w:numId w:val="21"/>
        </w:numPr>
        <w:rPr>
          <w:sz w:val="22"/>
          <w:szCs w:val="22"/>
        </w:rPr>
      </w:pPr>
      <w:r>
        <w:rPr>
          <w:sz w:val="22"/>
          <w:szCs w:val="22"/>
        </w:rPr>
        <w:t>Introduce the concept of</w:t>
      </w:r>
      <w:r w:rsidRPr="000C5AD2">
        <w:rPr>
          <w:sz w:val="22"/>
          <w:szCs w:val="22"/>
        </w:rPr>
        <w:t xml:space="preserve"> nonlinear response history analysis (NLRHA)</w:t>
      </w:r>
      <w:r>
        <w:rPr>
          <w:sz w:val="22"/>
          <w:szCs w:val="22"/>
        </w:rPr>
        <w:t>.</w:t>
      </w:r>
    </w:p>
    <w:p w14:paraId="6867581D" w14:textId="745C018B" w:rsidR="000C5AD2" w:rsidRPr="000C5AD2" w:rsidRDefault="000C5AD2" w:rsidP="000C5AD2">
      <w:pPr>
        <w:pStyle w:val="ListParagraph"/>
        <w:numPr>
          <w:ilvl w:val="0"/>
          <w:numId w:val="21"/>
        </w:numPr>
        <w:rPr>
          <w:sz w:val="22"/>
          <w:szCs w:val="22"/>
        </w:rPr>
      </w:pPr>
      <w:r>
        <w:rPr>
          <w:sz w:val="22"/>
          <w:szCs w:val="22"/>
        </w:rPr>
        <w:t>Describe the general computational</w:t>
      </w:r>
      <w:r w:rsidRPr="000C5AD2">
        <w:rPr>
          <w:sz w:val="22"/>
          <w:szCs w:val="22"/>
        </w:rPr>
        <w:t xml:space="preserve"> workflow for NLRHA</w:t>
      </w:r>
      <w:r>
        <w:rPr>
          <w:sz w:val="22"/>
          <w:szCs w:val="22"/>
        </w:rPr>
        <w:t>.</w:t>
      </w:r>
    </w:p>
    <w:p w14:paraId="5FAC34B6" w14:textId="595A32CE" w:rsidR="000C5AD2" w:rsidRPr="000C5AD2" w:rsidRDefault="000C5AD2" w:rsidP="000C5AD2">
      <w:pPr>
        <w:pStyle w:val="ListParagraph"/>
        <w:numPr>
          <w:ilvl w:val="0"/>
          <w:numId w:val="21"/>
        </w:numPr>
        <w:rPr>
          <w:sz w:val="22"/>
          <w:szCs w:val="22"/>
        </w:rPr>
      </w:pPr>
      <w:r>
        <w:rPr>
          <w:sz w:val="22"/>
          <w:szCs w:val="22"/>
        </w:rPr>
        <w:t>Learn the basic requirements for ground</w:t>
      </w:r>
      <w:r w:rsidRPr="000C5AD2">
        <w:rPr>
          <w:sz w:val="22"/>
          <w:szCs w:val="22"/>
        </w:rPr>
        <w:t xml:space="preserve"> motion selection and scaling</w:t>
      </w:r>
      <w:r>
        <w:rPr>
          <w:sz w:val="22"/>
          <w:szCs w:val="22"/>
        </w:rPr>
        <w:t>.</w:t>
      </w:r>
    </w:p>
    <w:p w14:paraId="08461F48" w14:textId="77777777" w:rsidR="0087777E" w:rsidRPr="0087777E" w:rsidRDefault="0087777E" w:rsidP="0087777E">
      <w:pPr>
        <w:rPr>
          <w:b/>
          <w:bCs/>
          <w:sz w:val="22"/>
          <w:szCs w:val="22"/>
        </w:rPr>
      </w:pPr>
    </w:p>
    <w:p w14:paraId="1EAA1DD9" w14:textId="02FF89A6" w:rsidR="00A1458C" w:rsidRDefault="009672DE" w:rsidP="00A1458C">
      <w:pPr>
        <w:rPr>
          <w:b/>
          <w:bCs/>
          <w:sz w:val="22"/>
          <w:szCs w:val="22"/>
        </w:rPr>
      </w:pPr>
      <w:r>
        <w:rPr>
          <w:b/>
          <w:bCs/>
          <w:sz w:val="22"/>
          <w:szCs w:val="22"/>
        </w:rPr>
        <w:t>List of t</w:t>
      </w:r>
      <w:r w:rsidR="00A1458C">
        <w:rPr>
          <w:b/>
          <w:bCs/>
          <w:sz w:val="22"/>
          <w:szCs w:val="22"/>
        </w:rPr>
        <w:t xml:space="preserve">ools: </w:t>
      </w:r>
    </w:p>
    <w:p w14:paraId="0822DDCD" w14:textId="73F7D234" w:rsidR="00A1458C" w:rsidRDefault="00A418AA" w:rsidP="00A418AA">
      <w:pPr>
        <w:pStyle w:val="ListParagraph"/>
        <w:numPr>
          <w:ilvl w:val="0"/>
          <w:numId w:val="17"/>
        </w:numPr>
        <w:rPr>
          <w:sz w:val="22"/>
          <w:szCs w:val="22"/>
        </w:rPr>
      </w:pPr>
      <w:r w:rsidRPr="00A418AA">
        <w:rPr>
          <w:sz w:val="22"/>
          <w:szCs w:val="22"/>
        </w:rPr>
        <w:t>OpenSees</w:t>
      </w:r>
    </w:p>
    <w:p w14:paraId="3267E1CD" w14:textId="68650E2A" w:rsidR="00A418AA" w:rsidRPr="00A418AA" w:rsidRDefault="0087777E" w:rsidP="00A418AA">
      <w:pPr>
        <w:pStyle w:val="ListParagraph"/>
        <w:numPr>
          <w:ilvl w:val="0"/>
          <w:numId w:val="17"/>
        </w:numPr>
        <w:rPr>
          <w:sz w:val="22"/>
          <w:szCs w:val="22"/>
        </w:rPr>
      </w:pPr>
      <w:r>
        <w:rPr>
          <w:sz w:val="22"/>
          <w:szCs w:val="22"/>
        </w:rPr>
        <w:t xml:space="preserve">SimCenter </w:t>
      </w:r>
      <w:r w:rsidR="000C5AD2">
        <w:rPr>
          <w:sz w:val="22"/>
          <w:szCs w:val="22"/>
        </w:rPr>
        <w:t>EE-UQ</w:t>
      </w:r>
    </w:p>
    <w:p w14:paraId="111B964E" w14:textId="77777777" w:rsidR="005648EB" w:rsidRPr="00073D94" w:rsidRDefault="005648EB" w:rsidP="005648EB">
      <w:pPr>
        <w:rPr>
          <w:sz w:val="22"/>
          <w:szCs w:val="22"/>
        </w:rPr>
      </w:pPr>
    </w:p>
    <w:p w14:paraId="6A61D945" w14:textId="77777777" w:rsidR="005648EB" w:rsidRPr="00073D94" w:rsidRDefault="005648EB" w:rsidP="005648EB">
      <w:pPr>
        <w:rPr>
          <w:b/>
          <w:bCs/>
          <w:sz w:val="22"/>
          <w:szCs w:val="22"/>
        </w:rPr>
      </w:pPr>
      <w:r w:rsidRPr="00073D94">
        <w:rPr>
          <w:b/>
          <w:bCs/>
          <w:sz w:val="22"/>
          <w:szCs w:val="22"/>
        </w:rPr>
        <w:t xml:space="preserve">Supplemental material: </w:t>
      </w:r>
    </w:p>
    <w:p w14:paraId="0F3A41A7" w14:textId="6B57C8FA" w:rsidR="005648EB" w:rsidRDefault="005648EB" w:rsidP="005648EB">
      <w:pPr>
        <w:pStyle w:val="ListParagraph"/>
        <w:numPr>
          <w:ilvl w:val="0"/>
          <w:numId w:val="17"/>
        </w:numPr>
        <w:rPr>
          <w:sz w:val="22"/>
          <w:szCs w:val="22"/>
        </w:rPr>
      </w:pPr>
      <w:r w:rsidRPr="00073D94">
        <w:rPr>
          <w:sz w:val="22"/>
          <w:szCs w:val="22"/>
        </w:rPr>
        <w:t xml:space="preserve">Download link </w:t>
      </w:r>
      <w:r>
        <w:rPr>
          <w:sz w:val="22"/>
          <w:szCs w:val="22"/>
        </w:rPr>
        <w:t>EEUQ</w:t>
      </w:r>
      <w:r w:rsidRPr="00073D94">
        <w:rPr>
          <w:sz w:val="22"/>
          <w:szCs w:val="22"/>
        </w:rPr>
        <w:t xml:space="preserve">: </w:t>
      </w:r>
      <w:hyperlink r:id="rId8" w:history="1">
        <w:r w:rsidRPr="00EB6308">
          <w:rPr>
            <w:rStyle w:val="Hyperlink"/>
            <w:sz w:val="22"/>
            <w:szCs w:val="22"/>
          </w:rPr>
          <w:t>https://www.designsafe-ci.org/data/browser/public/designsafe.storage.community//SimCenter/Software/EE_UQ</w:t>
        </w:r>
      </w:hyperlink>
    </w:p>
    <w:p w14:paraId="39AEDF0C" w14:textId="1B295F58" w:rsidR="005648EB" w:rsidRPr="005648EB" w:rsidRDefault="005648EB" w:rsidP="009155B9">
      <w:pPr>
        <w:pStyle w:val="ListParagraph"/>
        <w:numPr>
          <w:ilvl w:val="0"/>
          <w:numId w:val="17"/>
        </w:numPr>
        <w:rPr>
          <w:b/>
          <w:bCs/>
          <w:sz w:val="22"/>
          <w:szCs w:val="22"/>
        </w:rPr>
      </w:pPr>
      <w:r w:rsidRPr="005648EB">
        <w:rPr>
          <w:sz w:val="22"/>
          <w:szCs w:val="22"/>
        </w:rPr>
        <w:t xml:space="preserve">Training videos EEUQ: </w:t>
      </w:r>
      <w:hyperlink r:id="rId9" w:history="1">
        <w:r w:rsidRPr="00EB6308">
          <w:rPr>
            <w:rStyle w:val="Hyperlink"/>
            <w:sz w:val="22"/>
            <w:szCs w:val="22"/>
          </w:rPr>
          <w:t>https://simcenter.designsafe-ci.org/research-tools/ee-uq-application/</w:t>
        </w:r>
      </w:hyperlink>
    </w:p>
    <w:p w14:paraId="68F99E3E" w14:textId="77777777" w:rsidR="005648EB" w:rsidRPr="005648EB" w:rsidRDefault="005648EB" w:rsidP="005648EB">
      <w:pPr>
        <w:rPr>
          <w:b/>
          <w:bCs/>
          <w:sz w:val="22"/>
          <w:szCs w:val="22"/>
        </w:rPr>
      </w:pPr>
    </w:p>
    <w:p w14:paraId="0578EA2F" w14:textId="72FD8B4A" w:rsidR="009B7DD7" w:rsidRDefault="00975571" w:rsidP="001D3E27">
      <w:pPr>
        <w:rPr>
          <w:b/>
          <w:bCs/>
          <w:sz w:val="22"/>
          <w:szCs w:val="22"/>
        </w:rPr>
      </w:pPr>
      <w:r>
        <w:rPr>
          <w:b/>
          <w:bCs/>
          <w:sz w:val="22"/>
          <w:szCs w:val="22"/>
        </w:rPr>
        <w:t>Activity description</w:t>
      </w:r>
      <w:r w:rsidR="00A1458C">
        <w:rPr>
          <w:b/>
          <w:bCs/>
          <w:sz w:val="22"/>
          <w:szCs w:val="22"/>
        </w:rPr>
        <w:t>:</w:t>
      </w:r>
    </w:p>
    <w:p w14:paraId="03D57A71" w14:textId="7C67605C" w:rsidR="002516B6" w:rsidRDefault="002516B6" w:rsidP="001D3E27">
      <w:pPr>
        <w:rPr>
          <w:b/>
          <w:bCs/>
          <w:sz w:val="22"/>
          <w:szCs w:val="22"/>
        </w:rPr>
      </w:pPr>
    </w:p>
    <w:p w14:paraId="6F461B34" w14:textId="2F487365" w:rsidR="00164418" w:rsidRDefault="00940C3C" w:rsidP="002516B6">
      <w:pPr>
        <w:jc w:val="both"/>
        <w:rPr>
          <w:sz w:val="22"/>
          <w:szCs w:val="22"/>
        </w:rPr>
      </w:pPr>
      <w:r w:rsidRPr="00313F8D">
        <w:rPr>
          <w:sz w:val="22"/>
          <w:szCs w:val="22"/>
        </w:rPr>
        <w:fldChar w:fldCharType="begin"/>
      </w:r>
      <w:r w:rsidRPr="00313F8D">
        <w:rPr>
          <w:sz w:val="22"/>
          <w:szCs w:val="22"/>
        </w:rPr>
        <w:instrText xml:space="preserve"> REF _Ref114635856 \h  \* MERGEFORMAT </w:instrText>
      </w:r>
      <w:r w:rsidRPr="00313F8D">
        <w:rPr>
          <w:sz w:val="22"/>
          <w:szCs w:val="22"/>
        </w:rPr>
      </w:r>
      <w:r w:rsidRPr="00313F8D">
        <w:rPr>
          <w:sz w:val="22"/>
          <w:szCs w:val="22"/>
        </w:rPr>
        <w:fldChar w:fldCharType="separate"/>
      </w:r>
      <w:r w:rsidRPr="00313F8D">
        <w:rPr>
          <w:sz w:val="22"/>
          <w:szCs w:val="22"/>
        </w:rPr>
        <w:t>Figure 1</w:t>
      </w:r>
      <w:r w:rsidRPr="00313F8D">
        <w:rPr>
          <w:sz w:val="22"/>
          <w:szCs w:val="22"/>
        </w:rPr>
        <w:fldChar w:fldCharType="end"/>
      </w:r>
      <w:r w:rsidRPr="00313F8D">
        <w:rPr>
          <w:sz w:val="22"/>
          <w:szCs w:val="22"/>
        </w:rPr>
        <w:t xml:space="preserve"> and </w:t>
      </w:r>
      <w:r w:rsidRPr="00313F8D">
        <w:rPr>
          <w:sz w:val="22"/>
          <w:szCs w:val="22"/>
        </w:rPr>
        <w:fldChar w:fldCharType="begin"/>
      </w:r>
      <w:r w:rsidRPr="00313F8D">
        <w:rPr>
          <w:sz w:val="22"/>
          <w:szCs w:val="22"/>
        </w:rPr>
        <w:instrText xml:space="preserve"> REF _Ref114635858 \h  \* MERGEFORMAT </w:instrText>
      </w:r>
      <w:r w:rsidRPr="00313F8D">
        <w:rPr>
          <w:sz w:val="22"/>
          <w:szCs w:val="22"/>
        </w:rPr>
      </w:r>
      <w:r w:rsidRPr="00313F8D">
        <w:rPr>
          <w:sz w:val="22"/>
          <w:szCs w:val="22"/>
        </w:rPr>
        <w:fldChar w:fldCharType="separate"/>
      </w:r>
      <w:r w:rsidRPr="00313F8D">
        <w:rPr>
          <w:sz w:val="22"/>
          <w:szCs w:val="22"/>
        </w:rPr>
        <w:t>Figure 2</w:t>
      </w:r>
      <w:r w:rsidRPr="00313F8D">
        <w:rPr>
          <w:sz w:val="22"/>
          <w:szCs w:val="22"/>
        </w:rPr>
        <w:fldChar w:fldCharType="end"/>
      </w:r>
      <w:r w:rsidRPr="00313F8D">
        <w:rPr>
          <w:sz w:val="22"/>
          <w:szCs w:val="22"/>
        </w:rPr>
        <w:t xml:space="preserve"> shows th</w:t>
      </w:r>
      <w:r>
        <w:rPr>
          <w:sz w:val="22"/>
          <w:szCs w:val="22"/>
        </w:rPr>
        <w:t xml:space="preserve">e geometry </w:t>
      </w:r>
      <w:r w:rsidRPr="00313F8D">
        <w:rPr>
          <w:sz w:val="22"/>
          <w:szCs w:val="22"/>
        </w:rPr>
        <w:t>of a</w:t>
      </w:r>
      <w:r>
        <w:rPr>
          <w:sz w:val="22"/>
          <w:szCs w:val="22"/>
        </w:rPr>
        <w:t>n existing special</w:t>
      </w:r>
      <w:r w:rsidRPr="00313F8D">
        <w:rPr>
          <w:sz w:val="22"/>
          <w:szCs w:val="22"/>
        </w:rPr>
        <w:t xml:space="preserve"> steel moment frame building </w:t>
      </w:r>
      <w:r>
        <w:rPr>
          <w:sz w:val="22"/>
          <w:szCs w:val="22"/>
        </w:rPr>
        <w:t>located in a high seismic hazard region. You are responsible for evaluating the seismic performance of this frame using nonlinear response history analyses.</w:t>
      </w:r>
    </w:p>
    <w:p w14:paraId="02D4AAB9" w14:textId="77777777" w:rsidR="002516B6" w:rsidRDefault="002516B6" w:rsidP="00164418">
      <w:pPr>
        <w:jc w:val="center"/>
        <w:rPr>
          <w:b/>
          <w:sz w:val="22"/>
          <w:szCs w:val="22"/>
        </w:rPr>
      </w:pPr>
      <w:r w:rsidRPr="0099629B">
        <w:rPr>
          <w:b/>
          <w:noProof/>
          <w:sz w:val="22"/>
          <w:szCs w:val="22"/>
        </w:rPr>
        <w:drawing>
          <wp:inline distT="0" distB="0" distL="0" distR="0" wp14:anchorId="49B761FF" wp14:editId="1B3757F8">
            <wp:extent cx="5586730" cy="3148330"/>
            <wp:effectExtent l="0" t="0" r="0" b="0"/>
            <wp:docPr id="6" name="Picture 1" descr="../../../../Desktop/Screen%20Shot%202016-02-25%20at%20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2-25%20at%209.19.0"/>
                    <pic:cNvPicPr>
                      <a:picLocks noChangeAspect="1" noChangeArrowheads="1"/>
                    </pic:cNvPicPr>
                  </pic:nvPicPr>
                  <pic:blipFill>
                    <a:blip r:embed="rId10">
                      <a:extLst>
                        <a:ext uri="{28A0092B-C50C-407E-A947-70E740481C1C}">
                          <a14:useLocalDpi xmlns:a14="http://schemas.microsoft.com/office/drawing/2010/main" val="0"/>
                        </a:ext>
                      </a:extLst>
                    </a:blip>
                    <a:srcRect b="49747"/>
                    <a:stretch>
                      <a:fillRect/>
                    </a:stretch>
                  </pic:blipFill>
                  <pic:spPr bwMode="auto">
                    <a:xfrm>
                      <a:off x="0" y="0"/>
                      <a:ext cx="5586730" cy="3148330"/>
                    </a:xfrm>
                    <a:prstGeom prst="rect">
                      <a:avLst/>
                    </a:prstGeom>
                    <a:noFill/>
                    <a:ln>
                      <a:noFill/>
                    </a:ln>
                  </pic:spPr>
                </pic:pic>
              </a:graphicData>
            </a:graphic>
          </wp:inline>
        </w:drawing>
      </w:r>
    </w:p>
    <w:p w14:paraId="6AD21DFA" w14:textId="77777777" w:rsidR="00AF0315" w:rsidRPr="00313F8D" w:rsidRDefault="00AF0315" w:rsidP="00AF0315">
      <w:pPr>
        <w:jc w:val="center"/>
        <w:rPr>
          <w:b/>
          <w:sz w:val="22"/>
          <w:szCs w:val="22"/>
        </w:rPr>
      </w:pPr>
      <w:bookmarkStart w:id="1" w:name="_Ref114635856"/>
      <w:r w:rsidRPr="00313F8D">
        <w:rPr>
          <w:b/>
          <w:sz w:val="22"/>
          <w:szCs w:val="22"/>
        </w:rPr>
        <w:t xml:space="preserve">Figure </w:t>
      </w:r>
      <w:r w:rsidRPr="00313F8D">
        <w:rPr>
          <w:b/>
          <w:sz w:val="22"/>
          <w:szCs w:val="22"/>
        </w:rPr>
        <w:fldChar w:fldCharType="begin"/>
      </w:r>
      <w:r w:rsidRPr="00313F8D">
        <w:rPr>
          <w:b/>
          <w:sz w:val="22"/>
          <w:szCs w:val="22"/>
        </w:rPr>
        <w:instrText xml:space="preserve"> SEQ Figure \* ARABIC </w:instrText>
      </w:r>
      <w:r w:rsidRPr="00313F8D">
        <w:rPr>
          <w:b/>
          <w:sz w:val="22"/>
          <w:szCs w:val="22"/>
        </w:rPr>
        <w:fldChar w:fldCharType="separate"/>
      </w:r>
      <w:r w:rsidRPr="00313F8D">
        <w:rPr>
          <w:b/>
          <w:noProof/>
          <w:sz w:val="22"/>
          <w:szCs w:val="22"/>
        </w:rPr>
        <w:t>1</w:t>
      </w:r>
      <w:r w:rsidRPr="00313F8D">
        <w:rPr>
          <w:b/>
          <w:sz w:val="22"/>
          <w:szCs w:val="22"/>
        </w:rPr>
        <w:fldChar w:fldCharType="end"/>
      </w:r>
      <w:bookmarkEnd w:id="1"/>
      <w:r w:rsidRPr="00313F8D">
        <w:rPr>
          <w:b/>
          <w:sz w:val="22"/>
          <w:szCs w:val="22"/>
        </w:rPr>
        <w:t>. Plan View of Building</w:t>
      </w:r>
    </w:p>
    <w:p w14:paraId="0A1A5896" w14:textId="77777777" w:rsidR="002516B6" w:rsidRDefault="002516B6" w:rsidP="002516B6">
      <w:pPr>
        <w:jc w:val="center"/>
        <w:rPr>
          <w:b/>
          <w:sz w:val="22"/>
          <w:szCs w:val="22"/>
        </w:rPr>
      </w:pPr>
      <w:r w:rsidRPr="0099629B">
        <w:rPr>
          <w:b/>
          <w:noProof/>
          <w:sz w:val="22"/>
          <w:szCs w:val="22"/>
        </w:rPr>
        <w:lastRenderedPageBreak/>
        <w:drawing>
          <wp:inline distT="0" distB="0" distL="0" distR="0" wp14:anchorId="353680E3" wp14:editId="06FB5C5C">
            <wp:extent cx="5586730" cy="2491105"/>
            <wp:effectExtent l="0" t="0" r="0" b="0"/>
            <wp:docPr id="3" name="Picture 3" descr="../../../../Desktop/Screen%20Shot%202016-02-25%20at%20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6-02-25%20at%209.19.0"/>
                    <pic:cNvPicPr>
                      <a:picLocks noChangeAspect="1" noChangeArrowheads="1"/>
                    </pic:cNvPicPr>
                  </pic:nvPicPr>
                  <pic:blipFill>
                    <a:blip r:embed="rId10">
                      <a:extLst>
                        <a:ext uri="{28A0092B-C50C-407E-A947-70E740481C1C}">
                          <a14:useLocalDpi xmlns:a14="http://schemas.microsoft.com/office/drawing/2010/main" val="0"/>
                        </a:ext>
                      </a:extLst>
                    </a:blip>
                    <a:srcRect t="54716" b="5626"/>
                    <a:stretch>
                      <a:fillRect/>
                    </a:stretch>
                  </pic:blipFill>
                  <pic:spPr bwMode="auto">
                    <a:xfrm>
                      <a:off x="0" y="0"/>
                      <a:ext cx="5586730" cy="2491105"/>
                    </a:xfrm>
                    <a:prstGeom prst="rect">
                      <a:avLst/>
                    </a:prstGeom>
                    <a:noFill/>
                    <a:ln>
                      <a:noFill/>
                    </a:ln>
                  </pic:spPr>
                </pic:pic>
              </a:graphicData>
            </a:graphic>
          </wp:inline>
        </w:drawing>
      </w:r>
    </w:p>
    <w:p w14:paraId="08CC6901" w14:textId="77777777" w:rsidR="00AF0315" w:rsidRPr="00313F8D" w:rsidRDefault="00AF0315" w:rsidP="00AF0315">
      <w:pPr>
        <w:jc w:val="center"/>
        <w:rPr>
          <w:b/>
          <w:sz w:val="22"/>
          <w:szCs w:val="22"/>
        </w:rPr>
      </w:pPr>
      <w:bookmarkStart w:id="2" w:name="_Ref114635858"/>
      <w:r w:rsidRPr="00313F8D">
        <w:rPr>
          <w:b/>
          <w:sz w:val="22"/>
          <w:szCs w:val="22"/>
        </w:rPr>
        <w:t xml:space="preserve">Figure </w:t>
      </w:r>
      <w:r w:rsidRPr="00313F8D">
        <w:rPr>
          <w:b/>
          <w:sz w:val="22"/>
          <w:szCs w:val="22"/>
        </w:rPr>
        <w:fldChar w:fldCharType="begin"/>
      </w:r>
      <w:r w:rsidRPr="00313F8D">
        <w:rPr>
          <w:b/>
          <w:sz w:val="22"/>
          <w:szCs w:val="22"/>
        </w:rPr>
        <w:instrText xml:space="preserve"> SEQ Figure \* ARABIC </w:instrText>
      </w:r>
      <w:r w:rsidRPr="00313F8D">
        <w:rPr>
          <w:b/>
          <w:sz w:val="22"/>
          <w:szCs w:val="22"/>
        </w:rPr>
        <w:fldChar w:fldCharType="separate"/>
      </w:r>
      <w:r w:rsidRPr="00313F8D">
        <w:rPr>
          <w:b/>
          <w:noProof/>
          <w:sz w:val="22"/>
          <w:szCs w:val="22"/>
        </w:rPr>
        <w:t>2</w:t>
      </w:r>
      <w:r w:rsidRPr="00313F8D">
        <w:rPr>
          <w:b/>
          <w:sz w:val="22"/>
          <w:szCs w:val="22"/>
        </w:rPr>
        <w:fldChar w:fldCharType="end"/>
      </w:r>
      <w:bookmarkEnd w:id="2"/>
      <w:r w:rsidRPr="00313F8D">
        <w:rPr>
          <w:b/>
          <w:sz w:val="22"/>
          <w:szCs w:val="22"/>
        </w:rPr>
        <w:t>. Elevation of RBS Moment Frame</w:t>
      </w:r>
    </w:p>
    <w:p w14:paraId="0730A785" w14:textId="77777777" w:rsidR="009B7DD7" w:rsidRDefault="009B7DD7" w:rsidP="001D3E27">
      <w:pPr>
        <w:rPr>
          <w:sz w:val="22"/>
          <w:szCs w:val="22"/>
        </w:rPr>
      </w:pPr>
    </w:p>
    <w:p w14:paraId="1F7E4AA4" w14:textId="04F9D163" w:rsidR="00940C3C" w:rsidRDefault="00940C3C" w:rsidP="00940C3C">
      <w:pPr>
        <w:jc w:val="both"/>
        <w:rPr>
          <w:sz w:val="22"/>
          <w:szCs w:val="22"/>
        </w:rPr>
      </w:pPr>
      <w:r w:rsidRPr="00313F8D">
        <w:rPr>
          <w:sz w:val="22"/>
          <w:szCs w:val="22"/>
        </w:rPr>
        <w:t xml:space="preserve">The perimeter frame in the E-W direction highlighted in </w:t>
      </w:r>
      <w:r w:rsidRPr="00313F8D">
        <w:rPr>
          <w:sz w:val="22"/>
          <w:szCs w:val="22"/>
        </w:rPr>
        <w:fldChar w:fldCharType="begin"/>
      </w:r>
      <w:r w:rsidRPr="00313F8D">
        <w:rPr>
          <w:sz w:val="22"/>
          <w:szCs w:val="22"/>
        </w:rPr>
        <w:instrText xml:space="preserve"> REF _Ref114635856 \h  \* MERGEFORMAT </w:instrText>
      </w:r>
      <w:r w:rsidRPr="00313F8D">
        <w:rPr>
          <w:sz w:val="22"/>
          <w:szCs w:val="22"/>
        </w:rPr>
      </w:r>
      <w:r w:rsidRPr="00313F8D">
        <w:rPr>
          <w:sz w:val="22"/>
          <w:szCs w:val="22"/>
        </w:rPr>
        <w:fldChar w:fldCharType="separate"/>
      </w:r>
      <w:r w:rsidRPr="00313F8D">
        <w:rPr>
          <w:sz w:val="22"/>
          <w:szCs w:val="22"/>
        </w:rPr>
        <w:t>Figure 1</w:t>
      </w:r>
      <w:r w:rsidRPr="00313F8D">
        <w:rPr>
          <w:sz w:val="22"/>
          <w:szCs w:val="22"/>
        </w:rPr>
        <w:fldChar w:fldCharType="end"/>
      </w:r>
      <w:r w:rsidRPr="00313F8D">
        <w:rPr>
          <w:sz w:val="22"/>
          <w:szCs w:val="22"/>
        </w:rPr>
        <w:t xml:space="preserve"> is idealized as a 2D OpenSees model. </w:t>
      </w:r>
      <w:r w:rsidRPr="00034419">
        <w:rPr>
          <w:sz w:val="22"/>
          <w:szCs w:val="22"/>
        </w:rPr>
        <w:t xml:space="preserve">The main script of the model is part of the starter code (“MRF_4Story_Concentrated_model.tcl”). </w:t>
      </w:r>
      <w:r w:rsidR="00034419" w:rsidRPr="00034419">
        <w:rPr>
          <w:sz w:val="22"/>
          <w:szCs w:val="22"/>
        </w:rPr>
        <w:fldChar w:fldCharType="begin"/>
      </w:r>
      <w:r w:rsidR="00034419" w:rsidRPr="00034419">
        <w:rPr>
          <w:sz w:val="22"/>
          <w:szCs w:val="22"/>
        </w:rPr>
        <w:instrText xml:space="preserve"> REF _Ref127801438 \h  \* MERGEFORMAT </w:instrText>
      </w:r>
      <w:r w:rsidR="00034419" w:rsidRPr="00034419">
        <w:rPr>
          <w:sz w:val="22"/>
          <w:szCs w:val="22"/>
        </w:rPr>
      </w:r>
      <w:r w:rsidR="00034419" w:rsidRPr="00034419">
        <w:rPr>
          <w:sz w:val="22"/>
          <w:szCs w:val="22"/>
        </w:rPr>
        <w:fldChar w:fldCharType="separate"/>
      </w:r>
      <w:r w:rsidR="00034419" w:rsidRPr="00034419">
        <w:rPr>
          <w:sz w:val="22"/>
          <w:szCs w:val="22"/>
        </w:rPr>
        <w:t xml:space="preserve">Figure </w:t>
      </w:r>
      <w:r w:rsidR="00034419" w:rsidRPr="00034419">
        <w:rPr>
          <w:noProof/>
          <w:sz w:val="22"/>
          <w:szCs w:val="22"/>
        </w:rPr>
        <w:t>3</w:t>
      </w:r>
      <w:r w:rsidR="00034419" w:rsidRPr="00034419">
        <w:rPr>
          <w:sz w:val="22"/>
          <w:szCs w:val="22"/>
        </w:rPr>
        <w:fldChar w:fldCharType="end"/>
      </w:r>
      <w:r w:rsidR="00034419" w:rsidRPr="00034419">
        <w:rPr>
          <w:sz w:val="22"/>
          <w:szCs w:val="22"/>
        </w:rPr>
        <w:t xml:space="preserve"> </w:t>
      </w:r>
      <w:r w:rsidRPr="00034419">
        <w:rPr>
          <w:sz w:val="22"/>
          <w:szCs w:val="22"/>
        </w:rPr>
        <w:t>shows</w:t>
      </w:r>
      <w:r w:rsidRPr="00313F8D">
        <w:rPr>
          <w:sz w:val="22"/>
          <w:szCs w:val="22"/>
        </w:rPr>
        <w:t xml:space="preserve"> the elevation view of the model with node numbers. The model has a leaning column that carries the dead and live load that is stabilized by the frame</w:t>
      </w:r>
      <w:r>
        <w:rPr>
          <w:sz w:val="22"/>
          <w:szCs w:val="22"/>
        </w:rPr>
        <w:t>. T</w:t>
      </w:r>
      <w:r w:rsidRPr="00313F8D">
        <w:rPr>
          <w:sz w:val="22"/>
          <w:szCs w:val="22"/>
        </w:rPr>
        <w:t>he end of the beams have elast</w:t>
      </w:r>
      <w:r>
        <w:rPr>
          <w:sz w:val="22"/>
          <w:szCs w:val="22"/>
        </w:rPr>
        <w:t>ic</w:t>
      </w:r>
      <w:r w:rsidRPr="00313F8D">
        <w:rPr>
          <w:sz w:val="22"/>
          <w:szCs w:val="22"/>
        </w:rPr>
        <w:t>-plastic concentrated plastic hinges (Zz*Fy,exp) that account for the reduced beam section at the hinge locations, and assume “expected” (as opposed to minimum specified) material properties.</w:t>
      </w:r>
      <w:r>
        <w:rPr>
          <w:sz w:val="22"/>
          <w:szCs w:val="22"/>
        </w:rPr>
        <w:t xml:space="preserve"> The vertical dead load (DL) </w:t>
      </w:r>
      <w:r w:rsidRPr="00313F8D">
        <w:rPr>
          <w:sz w:val="22"/>
          <w:szCs w:val="22"/>
        </w:rPr>
        <w:t xml:space="preserve">and </w:t>
      </w:r>
      <w:r>
        <w:rPr>
          <w:sz w:val="22"/>
          <w:szCs w:val="22"/>
        </w:rPr>
        <w:t>live load (</w:t>
      </w:r>
      <w:r w:rsidRPr="00313F8D">
        <w:rPr>
          <w:sz w:val="22"/>
          <w:szCs w:val="22"/>
        </w:rPr>
        <w:t>LL</w:t>
      </w:r>
      <w:r>
        <w:rPr>
          <w:sz w:val="22"/>
          <w:szCs w:val="22"/>
        </w:rPr>
        <w:t xml:space="preserve">) </w:t>
      </w:r>
      <w:r w:rsidRPr="00313F8D">
        <w:rPr>
          <w:sz w:val="22"/>
          <w:szCs w:val="22"/>
        </w:rPr>
        <w:t xml:space="preserve">are applied using </w:t>
      </w:r>
      <w:r>
        <w:rPr>
          <w:sz w:val="22"/>
          <w:szCs w:val="22"/>
        </w:rPr>
        <w:t xml:space="preserve">the </w:t>
      </w:r>
      <w:r w:rsidRPr="00313F8D">
        <w:rPr>
          <w:sz w:val="22"/>
          <w:szCs w:val="22"/>
        </w:rPr>
        <w:t>load factors specified in ASCE</w:t>
      </w:r>
      <w:r>
        <w:rPr>
          <w:sz w:val="22"/>
          <w:szCs w:val="22"/>
        </w:rPr>
        <w:t>/SEI</w:t>
      </w:r>
      <w:r w:rsidRPr="00313F8D">
        <w:rPr>
          <w:sz w:val="22"/>
          <w:szCs w:val="22"/>
        </w:rPr>
        <w:t xml:space="preserve"> 41 (1.1*(DL + 0.25LL)</w:t>
      </w:r>
      <w:r>
        <w:rPr>
          <w:sz w:val="22"/>
          <w:szCs w:val="22"/>
        </w:rPr>
        <w:t>). T</w:t>
      </w:r>
      <w:r w:rsidRPr="001F7F2C">
        <w:rPr>
          <w:sz w:val="22"/>
          <w:szCs w:val="22"/>
        </w:rPr>
        <w:t xml:space="preserve">he </w:t>
      </w:r>
      <w:r>
        <w:rPr>
          <w:sz w:val="22"/>
          <w:szCs w:val="22"/>
        </w:rPr>
        <w:t xml:space="preserve">first-mode </w:t>
      </w:r>
      <w:r w:rsidRPr="001F7F2C">
        <w:rPr>
          <w:sz w:val="22"/>
          <w:szCs w:val="22"/>
        </w:rPr>
        <w:t xml:space="preserve">period calculated with OpenSees </w:t>
      </w:r>
      <w:r>
        <w:rPr>
          <w:sz w:val="22"/>
          <w:szCs w:val="22"/>
        </w:rPr>
        <w:t>is</w:t>
      </w:r>
      <w:r w:rsidRPr="001F7F2C">
        <w:rPr>
          <w:sz w:val="22"/>
          <w:szCs w:val="22"/>
        </w:rPr>
        <w:t xml:space="preserve"> 1.12 s</w:t>
      </w:r>
      <w:r>
        <w:rPr>
          <w:sz w:val="22"/>
          <w:szCs w:val="22"/>
        </w:rPr>
        <w:t>.</w:t>
      </w:r>
    </w:p>
    <w:p w14:paraId="5500AB4F" w14:textId="77777777" w:rsidR="00940C3C" w:rsidRDefault="00940C3C" w:rsidP="00940C3C">
      <w:pPr>
        <w:jc w:val="both"/>
        <w:rPr>
          <w:sz w:val="22"/>
          <w:szCs w:val="22"/>
        </w:rPr>
      </w:pPr>
    </w:p>
    <w:p w14:paraId="2A16274F" w14:textId="77777777" w:rsidR="00940C3C" w:rsidRPr="00064CD7" w:rsidRDefault="00940C3C" w:rsidP="00940C3C">
      <w:pPr>
        <w:jc w:val="center"/>
        <w:rPr>
          <w:sz w:val="22"/>
          <w:szCs w:val="22"/>
        </w:rPr>
      </w:pPr>
      <w:r w:rsidRPr="00064CD7">
        <w:rPr>
          <w:noProof/>
          <w:sz w:val="22"/>
          <w:szCs w:val="22"/>
        </w:rPr>
        <w:drawing>
          <wp:inline distT="0" distB="0" distL="0" distR="0" wp14:anchorId="17DFC30E" wp14:editId="7E4AB265">
            <wp:extent cx="5486400" cy="1980870"/>
            <wp:effectExtent l="0" t="0" r="0" b="635"/>
            <wp:docPr id="4" name="Picture 4" descr="A picture containing red, outdoo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d, outdoor, devi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980870"/>
                    </a:xfrm>
                    <a:prstGeom prst="rect">
                      <a:avLst/>
                    </a:prstGeom>
                    <a:noFill/>
                  </pic:spPr>
                </pic:pic>
              </a:graphicData>
            </a:graphic>
          </wp:inline>
        </w:drawing>
      </w:r>
    </w:p>
    <w:p w14:paraId="2EEEBD45" w14:textId="41B8596D" w:rsidR="00940C3C" w:rsidRDefault="00034419" w:rsidP="00940C3C">
      <w:pPr>
        <w:jc w:val="center"/>
        <w:rPr>
          <w:sz w:val="22"/>
          <w:szCs w:val="22"/>
        </w:rPr>
      </w:pPr>
      <w:bookmarkStart w:id="3" w:name="_Ref127801438"/>
      <w:r w:rsidRPr="00313F8D">
        <w:rPr>
          <w:b/>
          <w:sz w:val="22"/>
          <w:szCs w:val="22"/>
        </w:rPr>
        <w:t xml:space="preserve">Figure </w:t>
      </w:r>
      <w:r w:rsidRPr="00313F8D">
        <w:rPr>
          <w:b/>
          <w:sz w:val="22"/>
          <w:szCs w:val="22"/>
        </w:rPr>
        <w:fldChar w:fldCharType="begin"/>
      </w:r>
      <w:r w:rsidRPr="00313F8D">
        <w:rPr>
          <w:b/>
          <w:sz w:val="22"/>
          <w:szCs w:val="22"/>
        </w:rPr>
        <w:instrText xml:space="preserve"> SEQ Figure \* ARABIC </w:instrText>
      </w:r>
      <w:r w:rsidRPr="00313F8D">
        <w:rPr>
          <w:b/>
          <w:sz w:val="22"/>
          <w:szCs w:val="22"/>
        </w:rPr>
        <w:fldChar w:fldCharType="separate"/>
      </w:r>
      <w:r>
        <w:rPr>
          <w:b/>
          <w:noProof/>
          <w:sz w:val="22"/>
          <w:szCs w:val="22"/>
        </w:rPr>
        <w:t>3</w:t>
      </w:r>
      <w:r w:rsidRPr="00313F8D">
        <w:rPr>
          <w:b/>
          <w:sz w:val="22"/>
          <w:szCs w:val="22"/>
        </w:rPr>
        <w:fldChar w:fldCharType="end"/>
      </w:r>
      <w:bookmarkEnd w:id="3"/>
      <w:r w:rsidRPr="00313F8D">
        <w:rPr>
          <w:b/>
          <w:sz w:val="22"/>
          <w:szCs w:val="22"/>
        </w:rPr>
        <w:t xml:space="preserve">. </w:t>
      </w:r>
      <w:r w:rsidR="00940C3C" w:rsidRPr="00064CD7">
        <w:rPr>
          <w:sz w:val="22"/>
          <w:szCs w:val="22"/>
        </w:rPr>
        <w:t>Schematic plot of the concentrated plastic hinge model for the 4-story steel moment frame.</w:t>
      </w:r>
    </w:p>
    <w:p w14:paraId="5D587F3D" w14:textId="77777777" w:rsidR="00940C3C" w:rsidRDefault="00940C3C" w:rsidP="002516B6">
      <w:pPr>
        <w:jc w:val="both"/>
        <w:rPr>
          <w:sz w:val="22"/>
          <w:szCs w:val="22"/>
        </w:rPr>
      </w:pPr>
    </w:p>
    <w:p w14:paraId="3221CB8D" w14:textId="6844CCBE" w:rsidR="002516B6" w:rsidRDefault="002516B6" w:rsidP="002516B6">
      <w:pPr>
        <w:jc w:val="both"/>
        <w:rPr>
          <w:sz w:val="22"/>
          <w:szCs w:val="22"/>
        </w:rPr>
      </w:pPr>
      <w:r w:rsidRPr="00064CD7">
        <w:rPr>
          <w:sz w:val="22"/>
          <w:szCs w:val="22"/>
        </w:rPr>
        <w:t>In order to estimate the structural response demands (e.g., peak story drift ratio, peak floor acceleration), you will conduct the nonlinear response history analysis following the ASCE</w:t>
      </w:r>
      <w:r w:rsidR="00940C3C">
        <w:rPr>
          <w:sz w:val="22"/>
          <w:szCs w:val="22"/>
        </w:rPr>
        <w:t>/SEI</w:t>
      </w:r>
      <w:r w:rsidRPr="00064CD7">
        <w:rPr>
          <w:sz w:val="22"/>
          <w:szCs w:val="22"/>
        </w:rPr>
        <w:t xml:space="preserve"> 7</w:t>
      </w:r>
      <w:r w:rsidR="00940C3C">
        <w:rPr>
          <w:sz w:val="22"/>
          <w:szCs w:val="22"/>
        </w:rPr>
        <w:t xml:space="preserve"> using</w:t>
      </w:r>
      <w:r w:rsidR="005D6CC0">
        <w:rPr>
          <w:sz w:val="22"/>
          <w:szCs w:val="22"/>
        </w:rPr>
        <w:t xml:space="preserve"> the SimCenter tool EE-UQ. </w:t>
      </w:r>
      <w:r w:rsidRPr="00064CD7">
        <w:rPr>
          <w:sz w:val="22"/>
          <w:szCs w:val="22"/>
        </w:rPr>
        <w:t>Major steps are listed as follows for your reference:</w:t>
      </w:r>
    </w:p>
    <w:p w14:paraId="558AA8FA" w14:textId="77777777" w:rsidR="002516B6" w:rsidRDefault="002516B6" w:rsidP="002516B6">
      <w:pPr>
        <w:jc w:val="both"/>
        <w:rPr>
          <w:sz w:val="22"/>
          <w:szCs w:val="22"/>
        </w:rPr>
      </w:pPr>
    </w:p>
    <w:p w14:paraId="7CE467C2" w14:textId="77777777" w:rsidR="0083508F" w:rsidRDefault="002516B6" w:rsidP="002516B6">
      <w:pPr>
        <w:pStyle w:val="ListParagraph"/>
        <w:numPr>
          <w:ilvl w:val="0"/>
          <w:numId w:val="24"/>
        </w:numPr>
        <w:jc w:val="both"/>
        <w:rPr>
          <w:sz w:val="22"/>
          <w:szCs w:val="22"/>
        </w:rPr>
      </w:pPr>
      <w:r w:rsidRPr="0083508F">
        <w:rPr>
          <w:sz w:val="22"/>
          <w:szCs w:val="22"/>
        </w:rPr>
        <w:t>Specify the number of samples: click on the “UQ” tab</w:t>
      </w:r>
      <w:r w:rsidR="005D6CC0" w:rsidRPr="0083508F">
        <w:rPr>
          <w:sz w:val="22"/>
          <w:szCs w:val="22"/>
        </w:rPr>
        <w:t xml:space="preserve"> of EE-UQ</w:t>
      </w:r>
      <w:r w:rsidRPr="0083508F">
        <w:rPr>
          <w:sz w:val="22"/>
          <w:szCs w:val="22"/>
        </w:rPr>
        <w:t xml:space="preserve"> and in the “# Sample” box, fill in the number of selected ground motion records so that the program would analyze the building under all motions (11 ground motions per ASCE/SEI 7).</w:t>
      </w:r>
    </w:p>
    <w:p w14:paraId="4FD15FD3" w14:textId="6C7B37EC" w:rsidR="0083508F" w:rsidRDefault="002516B6" w:rsidP="002516B6">
      <w:pPr>
        <w:pStyle w:val="ListParagraph"/>
        <w:numPr>
          <w:ilvl w:val="0"/>
          <w:numId w:val="24"/>
        </w:numPr>
        <w:jc w:val="both"/>
        <w:rPr>
          <w:sz w:val="22"/>
          <w:szCs w:val="22"/>
        </w:rPr>
      </w:pPr>
      <w:r w:rsidRPr="0083508F">
        <w:rPr>
          <w:sz w:val="22"/>
          <w:szCs w:val="22"/>
        </w:rPr>
        <w:t>Load the OpenSees model: click on the “SIM” tab on the left menu of the EE-UQ and select the “OpenSees” as the “Building Model Generator”. Choose the main script</w:t>
      </w:r>
      <w:r w:rsidR="00F02979" w:rsidRPr="0083508F">
        <w:rPr>
          <w:sz w:val="22"/>
          <w:szCs w:val="22"/>
        </w:rPr>
        <w:t xml:space="preserve"> (MRF_4Story_Concentrated_model.tcl)</w:t>
      </w:r>
      <w:r w:rsidRPr="0083508F">
        <w:rPr>
          <w:sz w:val="22"/>
          <w:szCs w:val="22"/>
        </w:rPr>
        <w:t xml:space="preserve"> as the “Input Script”. For “Response Nodes” whose responses </w:t>
      </w:r>
      <w:r w:rsidRPr="00034419">
        <w:rPr>
          <w:sz w:val="22"/>
          <w:szCs w:val="22"/>
        </w:rPr>
        <w:lastRenderedPageBreak/>
        <w:t>will be recorded during time history analyses, please specify the nodes of one “column line”</w:t>
      </w:r>
      <w:r w:rsidR="00034419" w:rsidRPr="00034419">
        <w:rPr>
          <w:sz w:val="22"/>
          <w:szCs w:val="22"/>
        </w:rPr>
        <w:t xml:space="preserve"> from </w:t>
      </w:r>
      <w:r w:rsidR="00034419" w:rsidRPr="00034419">
        <w:rPr>
          <w:sz w:val="22"/>
          <w:szCs w:val="22"/>
        </w:rPr>
        <w:fldChar w:fldCharType="begin"/>
      </w:r>
      <w:r w:rsidR="00034419" w:rsidRPr="00034419">
        <w:rPr>
          <w:sz w:val="22"/>
          <w:szCs w:val="22"/>
        </w:rPr>
        <w:instrText xml:space="preserve"> REF _Ref127801438 \h  \* MERGEFORMAT </w:instrText>
      </w:r>
      <w:r w:rsidR="00034419" w:rsidRPr="00034419">
        <w:rPr>
          <w:sz w:val="22"/>
          <w:szCs w:val="22"/>
        </w:rPr>
      </w:r>
      <w:r w:rsidR="00034419" w:rsidRPr="00034419">
        <w:rPr>
          <w:sz w:val="22"/>
          <w:szCs w:val="22"/>
        </w:rPr>
        <w:fldChar w:fldCharType="separate"/>
      </w:r>
      <w:r w:rsidR="00034419" w:rsidRPr="00034419">
        <w:rPr>
          <w:sz w:val="22"/>
          <w:szCs w:val="22"/>
        </w:rPr>
        <w:t xml:space="preserve">Figure </w:t>
      </w:r>
      <w:r w:rsidR="00034419" w:rsidRPr="00034419">
        <w:rPr>
          <w:noProof/>
          <w:sz w:val="22"/>
          <w:szCs w:val="22"/>
        </w:rPr>
        <w:t>3</w:t>
      </w:r>
      <w:r w:rsidR="00034419" w:rsidRPr="00034419">
        <w:rPr>
          <w:sz w:val="22"/>
          <w:szCs w:val="22"/>
        </w:rPr>
        <w:fldChar w:fldCharType="end"/>
      </w:r>
      <w:r w:rsidRPr="00034419">
        <w:rPr>
          <w:sz w:val="22"/>
          <w:szCs w:val="22"/>
        </w:rPr>
        <w:t xml:space="preserve"> (e.g., 11, 12, 13, 14, 15) so the program will automatically compute and report the</w:t>
      </w:r>
      <w:r w:rsidRPr="0083508F">
        <w:rPr>
          <w:sz w:val="22"/>
          <w:szCs w:val="22"/>
        </w:rPr>
        <w:t xml:space="preserve"> story drift ratios.</w:t>
      </w:r>
      <w:r w:rsidR="00D603C7">
        <w:rPr>
          <w:sz w:val="22"/>
          <w:szCs w:val="22"/>
        </w:rPr>
        <w:t xml:space="preserve"> Make sure the damping ratio for the structure is 5% to align with the definition of the target response spectrum.</w:t>
      </w:r>
    </w:p>
    <w:p w14:paraId="0D198F23" w14:textId="7ACAC415" w:rsidR="00940C3C" w:rsidRPr="0083508F" w:rsidRDefault="002516B6" w:rsidP="002516B6">
      <w:pPr>
        <w:pStyle w:val="ListParagraph"/>
        <w:numPr>
          <w:ilvl w:val="0"/>
          <w:numId w:val="24"/>
        </w:numPr>
        <w:jc w:val="both"/>
        <w:rPr>
          <w:sz w:val="22"/>
          <w:szCs w:val="22"/>
        </w:rPr>
      </w:pPr>
      <w:r w:rsidRPr="0083508F">
        <w:rPr>
          <w:sz w:val="22"/>
          <w:szCs w:val="22"/>
        </w:rPr>
        <w:t>Select and scale ground motion records</w:t>
      </w:r>
      <w:r w:rsidR="00940C3C" w:rsidRPr="0083508F">
        <w:rPr>
          <w:sz w:val="22"/>
          <w:szCs w:val="22"/>
        </w:rPr>
        <w:t xml:space="preserve"> for DBE and MCEr target spectra. </w:t>
      </w:r>
      <w:r w:rsidR="00940C3C" w:rsidRPr="0083508F">
        <w:rPr>
          <w:iCs/>
          <w:sz w:val="22"/>
          <w:szCs w:val="22"/>
        </w:rPr>
        <w:t xml:space="preserve">Remember that DBE is 2/3 of the MCEr spectrum, where the MCEr ordinates at this site are </w:t>
      </w:r>
      <w:r w:rsidR="00940C3C" w:rsidRPr="0083508F">
        <w:rPr>
          <w:i/>
          <w:sz w:val="22"/>
          <w:szCs w:val="22"/>
        </w:rPr>
        <w:t>S</w:t>
      </w:r>
      <w:r w:rsidR="00940C3C" w:rsidRPr="0083508F">
        <w:rPr>
          <w:i/>
          <w:sz w:val="22"/>
          <w:szCs w:val="22"/>
          <w:vertAlign w:val="subscript"/>
        </w:rPr>
        <w:t>s</w:t>
      </w:r>
      <w:r w:rsidR="00940C3C" w:rsidRPr="0083508F">
        <w:rPr>
          <w:iCs/>
          <w:sz w:val="22"/>
          <w:szCs w:val="22"/>
          <w:vertAlign w:val="subscript"/>
        </w:rPr>
        <w:t xml:space="preserve"> </w:t>
      </w:r>
      <w:r w:rsidR="00940C3C" w:rsidRPr="0083508F">
        <w:rPr>
          <w:iCs/>
          <w:sz w:val="22"/>
          <w:szCs w:val="22"/>
        </w:rPr>
        <w:t xml:space="preserve">= 1.5g and </w:t>
      </w:r>
      <w:r w:rsidR="00940C3C" w:rsidRPr="0083508F">
        <w:rPr>
          <w:i/>
          <w:sz w:val="22"/>
          <w:szCs w:val="22"/>
        </w:rPr>
        <w:t>S</w:t>
      </w:r>
      <w:r w:rsidR="00940C3C" w:rsidRPr="0083508F">
        <w:rPr>
          <w:i/>
          <w:sz w:val="22"/>
          <w:szCs w:val="22"/>
          <w:vertAlign w:val="subscript"/>
        </w:rPr>
        <w:t>1</w:t>
      </w:r>
      <w:r w:rsidR="00940C3C" w:rsidRPr="0083508F">
        <w:rPr>
          <w:iCs/>
          <w:sz w:val="22"/>
          <w:szCs w:val="22"/>
        </w:rPr>
        <w:t xml:space="preserve"> = 0.6g. </w:t>
      </w:r>
    </w:p>
    <w:p w14:paraId="7B3A5F25" w14:textId="355B6C7E" w:rsidR="002516B6" w:rsidRDefault="00940C3C" w:rsidP="0083508F">
      <w:pPr>
        <w:ind w:left="360"/>
        <w:jc w:val="both"/>
        <w:rPr>
          <w:sz w:val="22"/>
          <w:szCs w:val="22"/>
        </w:rPr>
      </w:pPr>
      <w:r>
        <w:rPr>
          <w:sz w:val="22"/>
          <w:szCs w:val="22"/>
        </w:rPr>
        <w:t>For ground motion selection in EEUQ you shall c</w:t>
      </w:r>
      <w:r w:rsidR="002516B6" w:rsidRPr="00064CD7">
        <w:rPr>
          <w:sz w:val="22"/>
          <w:szCs w:val="22"/>
        </w:rPr>
        <w:t xml:space="preserve">lick on the “EVT” (event) tab and select the “PEER NGA Records” as the “Load Generator”. </w:t>
      </w:r>
      <w:r>
        <w:rPr>
          <w:sz w:val="22"/>
          <w:szCs w:val="22"/>
        </w:rPr>
        <w:t>Select the target spectrum type as</w:t>
      </w:r>
      <w:r w:rsidR="002516B6" w:rsidRPr="00064CD7">
        <w:rPr>
          <w:sz w:val="22"/>
          <w:szCs w:val="22"/>
        </w:rPr>
        <w:t xml:space="preserve"> “Design Spectrum (ASCE 7-10)” and specify the corresponding </w:t>
      </w:r>
      <w:r w:rsidR="006B1C2C">
        <w:rPr>
          <w:sz w:val="22"/>
          <w:szCs w:val="22"/>
        </w:rPr>
        <w:t>spectral values</w:t>
      </w:r>
      <w:r w:rsidR="002516B6">
        <w:rPr>
          <w:sz w:val="22"/>
          <w:szCs w:val="22"/>
        </w:rPr>
        <w:t xml:space="preserve"> for DBE or MCE.</w:t>
      </w:r>
      <w:r>
        <w:rPr>
          <w:sz w:val="22"/>
          <w:szCs w:val="22"/>
        </w:rPr>
        <w:t xml:space="preserve"> EEUQ selects ground motions for one target spectrum at the time.</w:t>
      </w:r>
    </w:p>
    <w:p w14:paraId="09611098" w14:textId="77777777" w:rsidR="002516B6" w:rsidRDefault="002516B6" w:rsidP="002516B6">
      <w:pPr>
        <w:jc w:val="both"/>
        <w:rPr>
          <w:sz w:val="22"/>
          <w:szCs w:val="22"/>
        </w:rPr>
      </w:pPr>
    </w:p>
    <w:p w14:paraId="6BC65E53" w14:textId="4EA787B5" w:rsidR="002516B6" w:rsidRPr="00064CD7" w:rsidRDefault="006B1C2C" w:rsidP="006B1C2C">
      <w:pPr>
        <w:ind w:left="360"/>
        <w:jc w:val="both"/>
        <w:rPr>
          <w:sz w:val="22"/>
          <w:szCs w:val="22"/>
        </w:rPr>
      </w:pPr>
      <w:r>
        <w:rPr>
          <w:sz w:val="22"/>
          <w:szCs w:val="22"/>
        </w:rPr>
        <w:t>R</w:t>
      </w:r>
      <w:r w:rsidR="002516B6">
        <w:rPr>
          <w:sz w:val="22"/>
          <w:szCs w:val="22"/>
        </w:rPr>
        <w:t>equest</w:t>
      </w:r>
      <w:r w:rsidR="002516B6" w:rsidRPr="00064CD7">
        <w:rPr>
          <w:sz w:val="22"/>
          <w:szCs w:val="22"/>
        </w:rPr>
        <w:t xml:space="preserve"> </w:t>
      </w:r>
      <w:r w:rsidR="002516B6">
        <w:rPr>
          <w:sz w:val="22"/>
          <w:szCs w:val="22"/>
        </w:rPr>
        <w:t xml:space="preserve">11 </w:t>
      </w:r>
      <w:r w:rsidR="002516B6" w:rsidRPr="00064CD7">
        <w:rPr>
          <w:sz w:val="22"/>
          <w:szCs w:val="22"/>
        </w:rPr>
        <w:t xml:space="preserve">records and </w:t>
      </w:r>
      <w:r w:rsidR="002516B6">
        <w:rPr>
          <w:sz w:val="22"/>
          <w:szCs w:val="22"/>
        </w:rPr>
        <w:t>leave the default values for the remaining</w:t>
      </w:r>
      <w:r w:rsidR="002516B6" w:rsidRPr="00064CD7">
        <w:rPr>
          <w:sz w:val="22"/>
          <w:szCs w:val="22"/>
        </w:rPr>
        <w:t xml:space="preserve"> selection criteria.</w:t>
      </w:r>
      <w:r w:rsidR="002516B6">
        <w:rPr>
          <w:sz w:val="22"/>
          <w:szCs w:val="22"/>
        </w:rPr>
        <w:t xml:space="preserve"> Since this is a 2D model, specify H1 or H2 as the acceleration component to select and scale ground motions based on one horizontal component only. </w:t>
      </w:r>
      <w:r w:rsidR="002516B6" w:rsidRPr="00064CD7">
        <w:rPr>
          <w:sz w:val="22"/>
          <w:szCs w:val="22"/>
        </w:rPr>
        <w:t>Use the “Minimize MSE” as the scaling method and specify the period range (0.2T</w:t>
      </w:r>
      <w:r w:rsidR="002516B6" w:rsidRPr="00064CD7">
        <w:rPr>
          <w:sz w:val="22"/>
          <w:szCs w:val="22"/>
          <w:vertAlign w:val="subscript"/>
        </w:rPr>
        <w:t>1</w:t>
      </w:r>
      <w:r w:rsidR="002516B6" w:rsidRPr="00064CD7">
        <w:rPr>
          <w:sz w:val="22"/>
          <w:szCs w:val="22"/>
        </w:rPr>
        <w:t xml:space="preserve"> to 1.5T</w:t>
      </w:r>
      <w:r w:rsidR="002516B6" w:rsidRPr="00064CD7">
        <w:rPr>
          <w:sz w:val="22"/>
          <w:szCs w:val="22"/>
          <w:vertAlign w:val="subscript"/>
        </w:rPr>
        <w:t>1</w:t>
      </w:r>
      <w:r w:rsidR="002516B6" w:rsidRPr="00064CD7">
        <w:rPr>
          <w:sz w:val="22"/>
          <w:szCs w:val="22"/>
        </w:rPr>
        <w:t>) for selecting and scaling ground motions.</w:t>
      </w:r>
      <w:r w:rsidR="002516B6">
        <w:rPr>
          <w:sz w:val="22"/>
          <w:szCs w:val="22"/>
        </w:rPr>
        <w:t xml:space="preserve"> Use the period (</w:t>
      </w:r>
      <w:r w:rsidR="002516B6" w:rsidRPr="00064CD7">
        <w:rPr>
          <w:sz w:val="22"/>
          <w:szCs w:val="22"/>
        </w:rPr>
        <w:t>T</w:t>
      </w:r>
      <w:r w:rsidR="002516B6" w:rsidRPr="00064CD7">
        <w:rPr>
          <w:sz w:val="22"/>
          <w:szCs w:val="22"/>
          <w:vertAlign w:val="subscript"/>
        </w:rPr>
        <w:t>1</w:t>
      </w:r>
      <w:r w:rsidR="002516B6" w:rsidRPr="00960E39">
        <w:rPr>
          <w:sz w:val="22"/>
          <w:szCs w:val="22"/>
        </w:rPr>
        <w:t>)</w:t>
      </w:r>
      <w:r w:rsidR="002516B6">
        <w:rPr>
          <w:sz w:val="22"/>
          <w:szCs w:val="22"/>
        </w:rPr>
        <w:t xml:space="preserve"> estimated in problem 1.</w:t>
      </w:r>
      <w:r w:rsidR="003A195D">
        <w:rPr>
          <w:sz w:val="22"/>
          <w:szCs w:val="22"/>
        </w:rPr>
        <w:t xml:space="preserve"> Then click on “Select Records” to gather the ground motion suite.</w:t>
      </w:r>
    </w:p>
    <w:p w14:paraId="341D7E74" w14:textId="77777777" w:rsidR="002516B6" w:rsidRPr="00064CD7" w:rsidRDefault="002516B6" w:rsidP="002516B6">
      <w:pPr>
        <w:jc w:val="both"/>
        <w:rPr>
          <w:sz w:val="22"/>
          <w:szCs w:val="22"/>
        </w:rPr>
      </w:pPr>
    </w:p>
    <w:p w14:paraId="6A88FBFC" w14:textId="2E2FA474" w:rsidR="002516B6" w:rsidRPr="0083508F" w:rsidRDefault="002516B6" w:rsidP="0083508F">
      <w:pPr>
        <w:pStyle w:val="ListParagraph"/>
        <w:numPr>
          <w:ilvl w:val="0"/>
          <w:numId w:val="24"/>
        </w:numPr>
        <w:jc w:val="both"/>
        <w:rPr>
          <w:sz w:val="22"/>
          <w:szCs w:val="22"/>
        </w:rPr>
      </w:pPr>
      <w:r w:rsidRPr="0083508F">
        <w:rPr>
          <w:sz w:val="22"/>
          <w:szCs w:val="22"/>
        </w:rPr>
        <w:t>Specify the nonlinear response history analysis script: click on the “FEM” tab on the left menu and choose the “MRF_4Story_Concentrated_solver.tcl” as the “Analysis Script”. This script is created for solving the nonlinear response history analysis in this assignment but also could be used for solving other OpenSees models.</w:t>
      </w:r>
    </w:p>
    <w:p w14:paraId="2437D634" w14:textId="77777777" w:rsidR="002516B6" w:rsidRDefault="002516B6" w:rsidP="002516B6">
      <w:pPr>
        <w:jc w:val="both"/>
        <w:rPr>
          <w:sz w:val="22"/>
          <w:szCs w:val="22"/>
        </w:rPr>
      </w:pPr>
    </w:p>
    <w:p w14:paraId="5FB68BC8" w14:textId="1F1FD02C" w:rsidR="0083508F" w:rsidRDefault="002516B6" w:rsidP="0083508F">
      <w:pPr>
        <w:pStyle w:val="ListParagraph"/>
        <w:numPr>
          <w:ilvl w:val="0"/>
          <w:numId w:val="24"/>
        </w:numPr>
        <w:jc w:val="both"/>
        <w:rPr>
          <w:sz w:val="22"/>
          <w:szCs w:val="22"/>
        </w:rPr>
      </w:pPr>
      <w:r w:rsidRPr="0083508F">
        <w:rPr>
          <w:sz w:val="22"/>
          <w:szCs w:val="22"/>
        </w:rPr>
        <w:t>Run the nonlinear response history analyses (NLRHAs)</w:t>
      </w:r>
      <w:r w:rsidR="00940C3C" w:rsidRPr="0083508F">
        <w:rPr>
          <w:sz w:val="22"/>
          <w:szCs w:val="22"/>
        </w:rPr>
        <w:t>. This problem only considers uncertainty in the ground motions</w:t>
      </w:r>
      <w:r w:rsidRPr="0083508F">
        <w:rPr>
          <w:sz w:val="22"/>
          <w:szCs w:val="22"/>
        </w:rPr>
        <w:t>. You can perform this runs locally or remotely on the Texas Advanced Computing Center (TACC) using the option to “RUN at DesignSafe”. Note that you will need to register at DesignSafe for this (</w:t>
      </w:r>
      <w:hyperlink r:id="rId12" w:history="1">
        <w:r w:rsidRPr="0083508F">
          <w:rPr>
            <w:rStyle w:val="Hyperlink"/>
            <w:sz w:val="22"/>
            <w:szCs w:val="22"/>
          </w:rPr>
          <w:t>https://www.designsafe-ci.org/account/register/</w:t>
        </w:r>
      </w:hyperlink>
      <w:r w:rsidRPr="0083508F">
        <w:rPr>
          <w:sz w:val="22"/>
          <w:szCs w:val="22"/>
        </w:rPr>
        <w:t xml:space="preserve">). The recommended settings for 11 NLRHAs ran in DesignSafe are </w:t>
      </w:r>
      <w:r w:rsidR="00034419">
        <w:rPr>
          <w:sz w:val="22"/>
          <w:szCs w:val="22"/>
        </w:rPr>
        <w:t>shown i</w:t>
      </w:r>
      <w:r w:rsidR="00034419" w:rsidRPr="00034419">
        <w:rPr>
          <w:sz w:val="22"/>
          <w:szCs w:val="22"/>
        </w:rPr>
        <w:t xml:space="preserve">n </w:t>
      </w:r>
      <w:r w:rsidR="00034419" w:rsidRPr="00034419">
        <w:rPr>
          <w:sz w:val="22"/>
          <w:szCs w:val="22"/>
        </w:rPr>
        <w:fldChar w:fldCharType="begin"/>
      </w:r>
      <w:r w:rsidR="00034419" w:rsidRPr="00034419">
        <w:rPr>
          <w:sz w:val="22"/>
          <w:szCs w:val="22"/>
        </w:rPr>
        <w:instrText xml:space="preserve"> REF _Ref127801517 \h  \* MERGEFORMAT </w:instrText>
      </w:r>
      <w:r w:rsidR="00034419" w:rsidRPr="00034419">
        <w:rPr>
          <w:sz w:val="22"/>
          <w:szCs w:val="22"/>
        </w:rPr>
      </w:r>
      <w:r w:rsidR="00034419" w:rsidRPr="00034419">
        <w:rPr>
          <w:sz w:val="22"/>
          <w:szCs w:val="22"/>
        </w:rPr>
        <w:fldChar w:fldCharType="separate"/>
      </w:r>
      <w:r w:rsidR="00034419" w:rsidRPr="00034419">
        <w:rPr>
          <w:sz w:val="22"/>
          <w:szCs w:val="22"/>
        </w:rPr>
        <w:t xml:space="preserve">Figure </w:t>
      </w:r>
      <w:r w:rsidR="00034419" w:rsidRPr="00034419">
        <w:rPr>
          <w:noProof/>
          <w:sz w:val="22"/>
          <w:szCs w:val="22"/>
        </w:rPr>
        <w:t>4</w:t>
      </w:r>
      <w:r w:rsidR="00034419" w:rsidRPr="00034419">
        <w:rPr>
          <w:sz w:val="22"/>
          <w:szCs w:val="22"/>
        </w:rPr>
        <w:fldChar w:fldCharType="end"/>
      </w:r>
      <w:r w:rsidR="00034419" w:rsidRPr="00034419">
        <w:rPr>
          <w:sz w:val="22"/>
          <w:szCs w:val="22"/>
        </w:rPr>
        <w:t>.</w:t>
      </w:r>
    </w:p>
    <w:p w14:paraId="5369DDED" w14:textId="77777777" w:rsidR="0083508F" w:rsidRPr="0083508F" w:rsidRDefault="0083508F" w:rsidP="0083508F">
      <w:pPr>
        <w:jc w:val="both"/>
        <w:rPr>
          <w:sz w:val="22"/>
          <w:szCs w:val="22"/>
        </w:rPr>
      </w:pPr>
    </w:p>
    <w:p w14:paraId="526E4D48" w14:textId="7E96B94F" w:rsidR="002516B6" w:rsidRDefault="006B1C2C" w:rsidP="002516B6">
      <w:pPr>
        <w:jc w:val="center"/>
        <w:rPr>
          <w:sz w:val="22"/>
          <w:szCs w:val="22"/>
        </w:rPr>
      </w:pPr>
      <w:r w:rsidRPr="006B1C2C">
        <w:rPr>
          <w:noProof/>
          <w:sz w:val="22"/>
          <w:szCs w:val="22"/>
        </w:rPr>
        <w:drawing>
          <wp:inline distT="0" distB="0" distL="0" distR="0" wp14:anchorId="774FFEB6" wp14:editId="021AB6E9">
            <wp:extent cx="4213664" cy="1203325"/>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3"/>
                    <a:stretch>
                      <a:fillRect/>
                    </a:stretch>
                  </pic:blipFill>
                  <pic:spPr>
                    <a:xfrm>
                      <a:off x="0" y="0"/>
                      <a:ext cx="4238412" cy="1210392"/>
                    </a:xfrm>
                    <a:prstGeom prst="rect">
                      <a:avLst/>
                    </a:prstGeom>
                  </pic:spPr>
                </pic:pic>
              </a:graphicData>
            </a:graphic>
          </wp:inline>
        </w:drawing>
      </w:r>
    </w:p>
    <w:p w14:paraId="0DCDD3DD" w14:textId="22216B53" w:rsidR="00034419" w:rsidRDefault="00034419" w:rsidP="002516B6">
      <w:pPr>
        <w:jc w:val="center"/>
        <w:rPr>
          <w:sz w:val="22"/>
          <w:szCs w:val="22"/>
        </w:rPr>
      </w:pPr>
      <w:bookmarkStart w:id="4" w:name="_Ref127801517"/>
      <w:r w:rsidRPr="00313F8D">
        <w:rPr>
          <w:b/>
          <w:sz w:val="22"/>
          <w:szCs w:val="22"/>
        </w:rPr>
        <w:t xml:space="preserve">Figure </w:t>
      </w:r>
      <w:r w:rsidRPr="00313F8D">
        <w:rPr>
          <w:b/>
          <w:sz w:val="22"/>
          <w:szCs w:val="22"/>
        </w:rPr>
        <w:fldChar w:fldCharType="begin"/>
      </w:r>
      <w:r w:rsidRPr="00313F8D">
        <w:rPr>
          <w:b/>
          <w:sz w:val="22"/>
          <w:szCs w:val="22"/>
        </w:rPr>
        <w:instrText xml:space="preserve"> SEQ Figure \* ARABIC </w:instrText>
      </w:r>
      <w:r w:rsidRPr="00313F8D">
        <w:rPr>
          <w:b/>
          <w:sz w:val="22"/>
          <w:szCs w:val="22"/>
        </w:rPr>
        <w:fldChar w:fldCharType="separate"/>
      </w:r>
      <w:r>
        <w:rPr>
          <w:b/>
          <w:noProof/>
          <w:sz w:val="22"/>
          <w:szCs w:val="22"/>
        </w:rPr>
        <w:t>4</w:t>
      </w:r>
      <w:r w:rsidRPr="00313F8D">
        <w:rPr>
          <w:b/>
          <w:sz w:val="22"/>
          <w:szCs w:val="22"/>
        </w:rPr>
        <w:fldChar w:fldCharType="end"/>
      </w:r>
      <w:bookmarkEnd w:id="4"/>
      <w:r w:rsidRPr="00313F8D">
        <w:rPr>
          <w:b/>
          <w:sz w:val="22"/>
          <w:szCs w:val="22"/>
        </w:rPr>
        <w:t xml:space="preserve">. </w:t>
      </w:r>
      <w:r>
        <w:rPr>
          <w:sz w:val="22"/>
          <w:szCs w:val="22"/>
        </w:rPr>
        <w:t>Recommended settings for job on DesignSafe</w:t>
      </w:r>
    </w:p>
    <w:p w14:paraId="33730C6B" w14:textId="77777777" w:rsidR="0083508F" w:rsidRDefault="0083508F" w:rsidP="002516B6">
      <w:pPr>
        <w:jc w:val="center"/>
        <w:rPr>
          <w:sz w:val="22"/>
          <w:szCs w:val="22"/>
        </w:rPr>
      </w:pPr>
    </w:p>
    <w:p w14:paraId="6C979C18" w14:textId="67799107" w:rsidR="002516B6" w:rsidRDefault="002516B6" w:rsidP="00164418">
      <w:pPr>
        <w:jc w:val="both"/>
        <w:rPr>
          <w:sz w:val="22"/>
          <w:szCs w:val="22"/>
        </w:rPr>
      </w:pPr>
      <w:r>
        <w:rPr>
          <w:sz w:val="22"/>
          <w:szCs w:val="22"/>
        </w:rPr>
        <w:t xml:space="preserve">To monitor the status of your run and retrieve the data from the server when the RUN at DesignSafe is finished, click on the “Get from DesignSafe” button. This will show you the list of all your pending runs including the job name and the status. When the status column marks “finished”, retrieve the data by right clicking the </w:t>
      </w:r>
      <w:r w:rsidRPr="0083508F">
        <w:rPr>
          <w:sz w:val="22"/>
          <w:szCs w:val="22"/>
        </w:rPr>
        <w:t>status to open the option menu and select “retrieve data”.</w:t>
      </w:r>
    </w:p>
    <w:p w14:paraId="3DBDB28D" w14:textId="3177B27A" w:rsidR="00D52C62" w:rsidRDefault="00D52C62" w:rsidP="00164418">
      <w:pPr>
        <w:jc w:val="both"/>
        <w:rPr>
          <w:sz w:val="22"/>
          <w:szCs w:val="22"/>
        </w:rPr>
      </w:pPr>
    </w:p>
    <w:p w14:paraId="5806B155" w14:textId="290424B1" w:rsidR="00D52C62" w:rsidRPr="0083508F" w:rsidRDefault="00D52C62" w:rsidP="00164418">
      <w:pPr>
        <w:jc w:val="both"/>
        <w:rPr>
          <w:sz w:val="22"/>
          <w:szCs w:val="22"/>
        </w:rPr>
      </w:pPr>
      <w:r>
        <w:rPr>
          <w:sz w:val="22"/>
          <w:szCs w:val="22"/>
        </w:rPr>
        <w:t>Save the engineering demand parameters (EDPs) results after retrieving the data using the “Save Table” button in the “Data Values” section on the “RES” tab.</w:t>
      </w:r>
    </w:p>
    <w:p w14:paraId="0F4C35DD" w14:textId="77777777" w:rsidR="002516B6" w:rsidRPr="0083508F" w:rsidRDefault="002516B6" w:rsidP="002516B6">
      <w:pPr>
        <w:jc w:val="both"/>
        <w:rPr>
          <w:sz w:val="22"/>
          <w:szCs w:val="22"/>
        </w:rPr>
      </w:pPr>
    </w:p>
    <w:p w14:paraId="080F1609" w14:textId="588469D9" w:rsidR="0083508F" w:rsidRPr="0083508F" w:rsidRDefault="002516B6" w:rsidP="0083508F">
      <w:pPr>
        <w:pStyle w:val="ListParagraph"/>
        <w:numPr>
          <w:ilvl w:val="0"/>
          <w:numId w:val="24"/>
        </w:numPr>
        <w:jc w:val="both"/>
        <w:rPr>
          <w:sz w:val="22"/>
          <w:szCs w:val="22"/>
        </w:rPr>
      </w:pPr>
      <w:r w:rsidRPr="0083508F">
        <w:rPr>
          <w:sz w:val="22"/>
          <w:szCs w:val="22"/>
        </w:rPr>
        <w:t>Summarize the results in the following figures:</w:t>
      </w:r>
    </w:p>
    <w:p w14:paraId="1A6981E4" w14:textId="3C70D0E7" w:rsidR="002516B6" w:rsidRPr="0083508F" w:rsidRDefault="002516B6" w:rsidP="00BB4DF0">
      <w:pPr>
        <w:pStyle w:val="ListParagraph"/>
        <w:numPr>
          <w:ilvl w:val="0"/>
          <w:numId w:val="22"/>
        </w:numPr>
        <w:spacing w:after="160" w:line="259" w:lineRule="auto"/>
        <w:jc w:val="both"/>
        <w:rPr>
          <w:sz w:val="22"/>
          <w:szCs w:val="22"/>
        </w:rPr>
      </w:pPr>
      <w:r w:rsidRPr="0083508F">
        <w:rPr>
          <w:sz w:val="22"/>
          <w:szCs w:val="22"/>
        </w:rPr>
        <w:t>A plot of the response spectra of selected and scaled ground motion records.</w:t>
      </w:r>
    </w:p>
    <w:p w14:paraId="5CA8CF62" w14:textId="43290EA5" w:rsidR="002516B6" w:rsidRPr="0083508F" w:rsidRDefault="002516B6" w:rsidP="002516B6">
      <w:pPr>
        <w:pStyle w:val="ListParagraph"/>
        <w:numPr>
          <w:ilvl w:val="0"/>
          <w:numId w:val="22"/>
        </w:numPr>
        <w:spacing w:after="160" w:line="259" w:lineRule="auto"/>
        <w:jc w:val="both"/>
        <w:rPr>
          <w:sz w:val="22"/>
          <w:szCs w:val="22"/>
        </w:rPr>
      </w:pPr>
      <w:r w:rsidRPr="0083508F">
        <w:rPr>
          <w:sz w:val="22"/>
          <w:szCs w:val="22"/>
        </w:rPr>
        <w:t>Save the analysis data from EE-UQ, and then post process the data with following outputs.</w:t>
      </w:r>
    </w:p>
    <w:p w14:paraId="5328CE59" w14:textId="77777777" w:rsidR="002516B6" w:rsidRPr="0083508F" w:rsidRDefault="002516B6" w:rsidP="002516B6">
      <w:pPr>
        <w:pStyle w:val="ListParagraph"/>
        <w:numPr>
          <w:ilvl w:val="1"/>
          <w:numId w:val="22"/>
        </w:numPr>
        <w:spacing w:after="160" w:line="259" w:lineRule="auto"/>
        <w:jc w:val="both"/>
        <w:rPr>
          <w:sz w:val="22"/>
          <w:szCs w:val="22"/>
        </w:rPr>
      </w:pPr>
      <w:r w:rsidRPr="0083508F">
        <w:rPr>
          <w:sz w:val="22"/>
          <w:szCs w:val="22"/>
        </w:rPr>
        <w:t xml:space="preserve">A plot of the peak inter-story drift ratios (PID) and their average, median, and dispersion. </w:t>
      </w:r>
    </w:p>
    <w:p w14:paraId="5F810DD0" w14:textId="77777777" w:rsidR="002516B6" w:rsidRPr="0083508F" w:rsidRDefault="002516B6" w:rsidP="002516B6">
      <w:pPr>
        <w:pStyle w:val="ListParagraph"/>
        <w:numPr>
          <w:ilvl w:val="1"/>
          <w:numId w:val="22"/>
        </w:numPr>
        <w:spacing w:after="160" w:line="259" w:lineRule="auto"/>
        <w:jc w:val="both"/>
        <w:rPr>
          <w:sz w:val="22"/>
          <w:szCs w:val="22"/>
        </w:rPr>
      </w:pPr>
      <w:r w:rsidRPr="0083508F">
        <w:rPr>
          <w:sz w:val="22"/>
          <w:szCs w:val="22"/>
        </w:rPr>
        <w:t>A plot of the peak floor acceleration (PFA) and their average, median, and dispersion.</w:t>
      </w:r>
    </w:p>
    <w:p w14:paraId="7A931244" w14:textId="165DC901" w:rsidR="002516B6" w:rsidRPr="0083508F" w:rsidRDefault="006B112A" w:rsidP="002516B6">
      <w:pPr>
        <w:pStyle w:val="ListParagraph"/>
        <w:numPr>
          <w:ilvl w:val="1"/>
          <w:numId w:val="22"/>
        </w:numPr>
        <w:spacing w:after="160" w:line="259" w:lineRule="auto"/>
        <w:jc w:val="both"/>
        <w:rPr>
          <w:sz w:val="22"/>
          <w:szCs w:val="22"/>
        </w:rPr>
      </w:pPr>
      <w:r w:rsidRPr="006B112A">
        <w:rPr>
          <w:sz w:val="22"/>
          <w:szCs w:val="22"/>
        </w:rPr>
        <w:lastRenderedPageBreak/>
        <w:t>The maximum PID and PFA of the median profile along the building height</w:t>
      </w:r>
      <w:r w:rsidR="002516B6" w:rsidRPr="0083508F">
        <w:rPr>
          <w:sz w:val="22"/>
          <w:szCs w:val="22"/>
        </w:rPr>
        <w:t>.</w:t>
      </w:r>
    </w:p>
    <w:p w14:paraId="4962F4D9" w14:textId="3A371973" w:rsidR="0083508F" w:rsidRDefault="002516B6" w:rsidP="0083508F">
      <w:pPr>
        <w:pStyle w:val="ListParagraph"/>
        <w:numPr>
          <w:ilvl w:val="0"/>
          <w:numId w:val="24"/>
        </w:numPr>
        <w:jc w:val="both"/>
        <w:rPr>
          <w:sz w:val="22"/>
          <w:szCs w:val="22"/>
        </w:rPr>
      </w:pPr>
      <w:r w:rsidRPr="0083508F">
        <w:rPr>
          <w:sz w:val="22"/>
          <w:szCs w:val="22"/>
        </w:rPr>
        <w:t xml:space="preserve">Comment on your results. Do you think that this building is safe? Why? How do the NLRHA results relate to the pushover results from </w:t>
      </w:r>
      <w:r w:rsidR="000732C8">
        <w:rPr>
          <w:sz w:val="22"/>
          <w:szCs w:val="22"/>
        </w:rPr>
        <w:t>Module No. 3</w:t>
      </w:r>
      <w:r w:rsidRPr="0083508F">
        <w:rPr>
          <w:sz w:val="22"/>
          <w:szCs w:val="22"/>
        </w:rPr>
        <w:t>?</w:t>
      </w:r>
    </w:p>
    <w:p w14:paraId="335183A8" w14:textId="77777777" w:rsidR="006B1C2C" w:rsidRDefault="006B1C2C" w:rsidP="0083508F">
      <w:pPr>
        <w:jc w:val="center"/>
        <w:rPr>
          <w:b/>
          <w:sz w:val="22"/>
          <w:szCs w:val="22"/>
        </w:rPr>
      </w:pPr>
    </w:p>
    <w:p w14:paraId="3F40400C" w14:textId="55E7A92A" w:rsidR="0083508F" w:rsidRPr="004B772A" w:rsidRDefault="0083508F" w:rsidP="0083508F">
      <w:pPr>
        <w:jc w:val="center"/>
        <w:rPr>
          <w:sz w:val="22"/>
          <w:szCs w:val="22"/>
        </w:rPr>
      </w:pPr>
      <w:r w:rsidRPr="004B772A">
        <w:rPr>
          <w:b/>
          <w:sz w:val="22"/>
          <w:szCs w:val="22"/>
        </w:rPr>
        <w:t>Starter code</w:t>
      </w:r>
    </w:p>
    <w:p w14:paraId="1EE5EC0C" w14:textId="77777777" w:rsidR="0083508F" w:rsidRPr="004B772A" w:rsidRDefault="0083508F" w:rsidP="0083508F">
      <w:pPr>
        <w:jc w:val="both"/>
        <w:rPr>
          <w:b/>
          <w:bCs/>
          <w:sz w:val="22"/>
          <w:szCs w:val="22"/>
        </w:rPr>
      </w:pPr>
      <w:r w:rsidRPr="004B772A">
        <w:rPr>
          <w:b/>
          <w:sz w:val="22"/>
          <w:szCs w:val="22"/>
        </w:rPr>
        <w:t>Model and test files</w:t>
      </w:r>
    </w:p>
    <w:p w14:paraId="759D3A1C" w14:textId="6343EF8D" w:rsidR="0083508F" w:rsidRPr="004B772A" w:rsidRDefault="0083508F" w:rsidP="0083508F">
      <w:pPr>
        <w:jc w:val="both"/>
        <w:rPr>
          <w:sz w:val="22"/>
          <w:szCs w:val="22"/>
        </w:rPr>
      </w:pPr>
      <w:r w:rsidRPr="004B772A">
        <w:rPr>
          <w:sz w:val="22"/>
          <w:szCs w:val="22"/>
        </w:rPr>
        <w:t xml:space="preserve">The folder “StarterCode” includes the following files in the proper format to use in </w:t>
      </w:r>
      <w:r>
        <w:rPr>
          <w:sz w:val="22"/>
          <w:szCs w:val="22"/>
        </w:rPr>
        <w:t>EEUQ</w:t>
      </w:r>
      <w:r w:rsidRPr="004B772A">
        <w:rPr>
          <w:sz w:val="22"/>
          <w:szCs w:val="22"/>
        </w:rPr>
        <w:t>:</w:t>
      </w:r>
    </w:p>
    <w:p w14:paraId="2BCB3564" w14:textId="77777777" w:rsidR="0083508F" w:rsidRPr="004B772A" w:rsidRDefault="0083508F" w:rsidP="0083508F">
      <w:pPr>
        <w:jc w:val="both"/>
        <w:rPr>
          <w:sz w:val="22"/>
          <w:szCs w:val="22"/>
        </w:rPr>
      </w:pPr>
    </w:p>
    <w:p w14:paraId="2DCC027D" w14:textId="77777777" w:rsidR="0083508F" w:rsidRPr="004B772A" w:rsidRDefault="0083508F" w:rsidP="0083508F">
      <w:pPr>
        <w:jc w:val="both"/>
        <w:rPr>
          <w:sz w:val="22"/>
          <w:szCs w:val="22"/>
        </w:rPr>
      </w:pPr>
      <w:r w:rsidRPr="00313F8D">
        <w:rPr>
          <w:sz w:val="22"/>
          <w:szCs w:val="22"/>
        </w:rPr>
        <w:t>MRF_4Story_Concentrated_model.tcl</w:t>
      </w:r>
      <w:r>
        <w:rPr>
          <w:sz w:val="22"/>
          <w:szCs w:val="22"/>
        </w:rPr>
        <w:t xml:space="preserve"> </w:t>
      </w:r>
      <w:r w:rsidRPr="004B772A">
        <w:rPr>
          <w:sz w:val="22"/>
          <w:szCs w:val="22"/>
        </w:rPr>
        <w:t xml:space="preserve">= OpenSees model of the </w:t>
      </w:r>
      <w:r>
        <w:rPr>
          <w:sz w:val="22"/>
          <w:szCs w:val="22"/>
        </w:rPr>
        <w:t>frame</w:t>
      </w:r>
    </w:p>
    <w:p w14:paraId="068841FE" w14:textId="77777777" w:rsidR="0083508F" w:rsidRDefault="0083508F" w:rsidP="0083508F">
      <w:pPr>
        <w:jc w:val="both"/>
        <w:rPr>
          <w:sz w:val="22"/>
          <w:szCs w:val="22"/>
        </w:rPr>
      </w:pPr>
      <w:r w:rsidRPr="00313F8D">
        <w:rPr>
          <w:sz w:val="22"/>
          <w:szCs w:val="22"/>
        </w:rPr>
        <w:t>SolverPushover.tcl</w:t>
      </w:r>
      <w:r w:rsidRPr="004B772A">
        <w:rPr>
          <w:sz w:val="22"/>
          <w:szCs w:val="22"/>
        </w:rPr>
        <w:t xml:space="preserve"> = </w:t>
      </w:r>
      <w:r>
        <w:rPr>
          <w:sz w:val="22"/>
          <w:szCs w:val="22"/>
        </w:rPr>
        <w:t>OpenSees routine to solve the nonlinear static analysis. Note that this file is incomplete, and you must fill the gaps.</w:t>
      </w:r>
    </w:p>
    <w:p w14:paraId="345852D0" w14:textId="77777777" w:rsidR="0083508F" w:rsidRPr="004B772A" w:rsidRDefault="0083508F" w:rsidP="0083508F">
      <w:pPr>
        <w:jc w:val="both"/>
        <w:rPr>
          <w:bCs/>
          <w:sz w:val="22"/>
          <w:szCs w:val="22"/>
        </w:rPr>
      </w:pPr>
    </w:p>
    <w:p w14:paraId="3B6DCF7A" w14:textId="77777777" w:rsidR="0083508F" w:rsidRPr="004B772A" w:rsidRDefault="0083508F" w:rsidP="0083508F">
      <w:pPr>
        <w:jc w:val="both"/>
        <w:rPr>
          <w:b/>
          <w:sz w:val="22"/>
          <w:szCs w:val="22"/>
        </w:rPr>
      </w:pPr>
      <w:r w:rsidRPr="004B772A">
        <w:rPr>
          <w:b/>
          <w:sz w:val="22"/>
          <w:szCs w:val="22"/>
        </w:rPr>
        <w:t>Postprocessing notebooks</w:t>
      </w:r>
    </w:p>
    <w:p w14:paraId="7EBD53F5" w14:textId="1078C9DE" w:rsidR="0083508F" w:rsidRPr="004B772A" w:rsidRDefault="0083508F" w:rsidP="0083508F">
      <w:pPr>
        <w:jc w:val="both"/>
        <w:rPr>
          <w:bCs/>
          <w:sz w:val="22"/>
          <w:szCs w:val="22"/>
        </w:rPr>
      </w:pPr>
      <w:r w:rsidRPr="004B772A">
        <w:rPr>
          <w:sz w:val="22"/>
          <w:szCs w:val="22"/>
        </w:rPr>
        <w:t xml:space="preserve">To facilitate your work, you can use the </w:t>
      </w:r>
      <w:bookmarkStart w:id="5" w:name="_Hlk127800037"/>
      <w:r>
        <w:rPr>
          <w:sz w:val="22"/>
          <w:szCs w:val="22"/>
        </w:rPr>
        <w:t xml:space="preserve">Google Colab </w:t>
      </w:r>
      <w:bookmarkEnd w:id="5"/>
      <w:r w:rsidRPr="004B772A">
        <w:rPr>
          <w:sz w:val="22"/>
          <w:szCs w:val="22"/>
        </w:rPr>
        <w:t>notebook</w:t>
      </w:r>
      <w:r>
        <w:rPr>
          <w:sz w:val="22"/>
          <w:szCs w:val="22"/>
        </w:rPr>
        <w:t xml:space="preserve"> “</w:t>
      </w:r>
      <w:r w:rsidRPr="0083508F">
        <w:rPr>
          <w:sz w:val="22"/>
          <w:szCs w:val="22"/>
        </w:rPr>
        <w:t>post_process_NLRHA_EEUQ</w:t>
      </w:r>
      <w:r w:rsidR="00BB4DF0">
        <w:rPr>
          <w:sz w:val="22"/>
          <w:szCs w:val="22"/>
        </w:rPr>
        <w:t>.</w:t>
      </w:r>
      <w:r w:rsidR="00BB4DF0" w:rsidRPr="00BB4DF0">
        <w:rPr>
          <w:sz w:val="22"/>
          <w:szCs w:val="22"/>
        </w:rPr>
        <w:t xml:space="preserve"> </w:t>
      </w:r>
      <w:r w:rsidR="00BB4DF0" w:rsidRPr="004B772A">
        <w:rPr>
          <w:sz w:val="22"/>
          <w:szCs w:val="22"/>
        </w:rPr>
        <w:t>ipynb</w:t>
      </w:r>
      <w:r>
        <w:rPr>
          <w:sz w:val="22"/>
          <w:szCs w:val="22"/>
        </w:rPr>
        <w:t>”</w:t>
      </w:r>
      <w:r w:rsidRPr="004B772A">
        <w:rPr>
          <w:sz w:val="22"/>
          <w:szCs w:val="22"/>
        </w:rPr>
        <w:t xml:space="preserve"> to produce the plots required in this </w:t>
      </w:r>
      <w:r>
        <w:rPr>
          <w:sz w:val="22"/>
          <w:szCs w:val="22"/>
        </w:rPr>
        <w:t>module</w:t>
      </w:r>
      <w:r w:rsidRPr="004B772A">
        <w:rPr>
          <w:sz w:val="22"/>
          <w:szCs w:val="22"/>
        </w:rPr>
        <w:t>.</w:t>
      </w:r>
    </w:p>
    <w:p w14:paraId="404AD9A3" w14:textId="77777777" w:rsidR="0083508F" w:rsidRDefault="0083508F" w:rsidP="0083508F">
      <w:pPr>
        <w:jc w:val="both"/>
        <w:rPr>
          <w:sz w:val="22"/>
          <w:szCs w:val="22"/>
        </w:rPr>
      </w:pPr>
    </w:p>
    <w:p w14:paraId="5AB58BBD" w14:textId="5D8E7097" w:rsidR="0083508F" w:rsidRDefault="0083508F" w:rsidP="00BB4DF0">
      <w:pPr>
        <w:jc w:val="both"/>
        <w:rPr>
          <w:sz w:val="22"/>
          <w:szCs w:val="22"/>
        </w:rPr>
      </w:pPr>
      <w:r w:rsidRPr="004B772A">
        <w:rPr>
          <w:sz w:val="22"/>
          <w:szCs w:val="22"/>
        </w:rPr>
        <w:t>Note that you need to manually</w:t>
      </w:r>
      <w:r>
        <w:rPr>
          <w:sz w:val="22"/>
          <w:szCs w:val="22"/>
        </w:rPr>
        <w:t xml:space="preserve"> zip the results from </w:t>
      </w:r>
      <w:r w:rsidR="00AB0C15">
        <w:rPr>
          <w:sz w:val="22"/>
          <w:szCs w:val="22"/>
        </w:rPr>
        <w:t>the NLRHAs</w:t>
      </w:r>
      <w:r>
        <w:rPr>
          <w:sz w:val="22"/>
          <w:szCs w:val="22"/>
        </w:rPr>
        <w:t xml:space="preserve"> performed by EEUQ. These results are </w:t>
      </w:r>
      <w:r w:rsidR="00BB4DF0">
        <w:rPr>
          <w:sz w:val="22"/>
          <w:szCs w:val="22"/>
        </w:rPr>
        <w:t>typically stored in the following local folder:</w:t>
      </w:r>
    </w:p>
    <w:p w14:paraId="3B6089C2" w14:textId="77777777" w:rsidR="0083508F" w:rsidRDefault="0083508F" w:rsidP="0083508F">
      <w:pPr>
        <w:jc w:val="both"/>
        <w:rPr>
          <w:sz w:val="22"/>
          <w:szCs w:val="22"/>
        </w:rPr>
      </w:pPr>
    </w:p>
    <w:p w14:paraId="328B2A26" w14:textId="53759695" w:rsidR="0083508F" w:rsidRDefault="0083508F" w:rsidP="0083508F">
      <w:pPr>
        <w:jc w:val="both"/>
        <w:rPr>
          <w:sz w:val="22"/>
          <w:szCs w:val="22"/>
        </w:rPr>
      </w:pPr>
      <w:r>
        <w:rPr>
          <w:sz w:val="22"/>
          <w:szCs w:val="22"/>
        </w:rPr>
        <w:t xml:space="preserve">EEUQ working directory: </w:t>
      </w:r>
      <w:r w:rsidRPr="00902E31">
        <w:rPr>
          <w:sz w:val="22"/>
          <w:szCs w:val="22"/>
        </w:rPr>
        <w:t>\</w:t>
      </w:r>
      <w:r>
        <w:rPr>
          <w:sz w:val="22"/>
          <w:szCs w:val="22"/>
        </w:rPr>
        <w:t>..</w:t>
      </w:r>
      <w:r w:rsidRPr="00902E31">
        <w:rPr>
          <w:sz w:val="22"/>
          <w:szCs w:val="22"/>
        </w:rPr>
        <w:t>Documents\</w:t>
      </w:r>
      <w:r w:rsidR="00BB4DF0" w:rsidRPr="00BB4DF0">
        <w:rPr>
          <w:sz w:val="22"/>
          <w:szCs w:val="22"/>
        </w:rPr>
        <w:t xml:space="preserve"> </w:t>
      </w:r>
      <w:r w:rsidR="00BB4DF0">
        <w:rPr>
          <w:sz w:val="22"/>
          <w:szCs w:val="22"/>
        </w:rPr>
        <w:t xml:space="preserve">EEUQ </w:t>
      </w:r>
      <w:r w:rsidRPr="00902E31">
        <w:rPr>
          <w:sz w:val="22"/>
          <w:szCs w:val="22"/>
        </w:rPr>
        <w:t>\LocalWorkDir</w:t>
      </w:r>
    </w:p>
    <w:p w14:paraId="70775667" w14:textId="3C824405" w:rsidR="0083508F" w:rsidRDefault="0083508F" w:rsidP="0083508F">
      <w:pPr>
        <w:jc w:val="both"/>
        <w:rPr>
          <w:sz w:val="22"/>
          <w:szCs w:val="22"/>
        </w:rPr>
      </w:pPr>
    </w:p>
    <w:p w14:paraId="6C78549F" w14:textId="7A3F713E" w:rsidR="00BB4DF0" w:rsidRDefault="00BB4DF0" w:rsidP="0083508F">
      <w:pPr>
        <w:jc w:val="both"/>
        <w:rPr>
          <w:sz w:val="22"/>
          <w:szCs w:val="22"/>
        </w:rPr>
      </w:pPr>
      <w:bookmarkStart w:id="6" w:name="_Hlk127801045"/>
      <w:r>
        <w:rPr>
          <w:sz w:val="22"/>
          <w:szCs w:val="22"/>
        </w:rPr>
        <w:t>The exact location can be found by clicking “</w:t>
      </w:r>
      <w:r w:rsidRPr="0083508F">
        <w:rPr>
          <w:sz w:val="22"/>
          <w:szCs w:val="22"/>
        </w:rPr>
        <w:t>File”</w:t>
      </w:r>
      <w:r>
        <w:rPr>
          <w:sz w:val="22"/>
          <w:szCs w:val="22"/>
        </w:rPr>
        <w:t xml:space="preserve">, </w:t>
      </w:r>
      <w:r w:rsidRPr="0083508F">
        <w:rPr>
          <w:sz w:val="22"/>
          <w:szCs w:val="22"/>
        </w:rPr>
        <w:t>“Preference”</w:t>
      </w:r>
      <w:r>
        <w:rPr>
          <w:sz w:val="22"/>
          <w:szCs w:val="22"/>
        </w:rPr>
        <w:t>, and searching on the</w:t>
      </w:r>
      <w:r w:rsidRPr="0083508F">
        <w:rPr>
          <w:sz w:val="22"/>
          <w:szCs w:val="22"/>
        </w:rPr>
        <w:t xml:space="preserve"> “Local Jobs directory”</w:t>
      </w:r>
      <w:r>
        <w:rPr>
          <w:sz w:val="22"/>
          <w:szCs w:val="22"/>
        </w:rPr>
        <w:t xml:space="preserve"> line on the pop-up window.</w:t>
      </w:r>
    </w:p>
    <w:bookmarkEnd w:id="6"/>
    <w:p w14:paraId="198B05B0" w14:textId="77777777" w:rsidR="00BB4DF0" w:rsidRDefault="00BB4DF0" w:rsidP="0083508F">
      <w:pPr>
        <w:jc w:val="both"/>
        <w:rPr>
          <w:sz w:val="22"/>
          <w:szCs w:val="22"/>
        </w:rPr>
      </w:pPr>
    </w:p>
    <w:p w14:paraId="128C10F8" w14:textId="22D63C24" w:rsidR="0083508F" w:rsidRDefault="0083508F" w:rsidP="0083508F">
      <w:pPr>
        <w:jc w:val="both"/>
        <w:rPr>
          <w:sz w:val="22"/>
          <w:szCs w:val="22"/>
        </w:rPr>
      </w:pPr>
      <w:r>
        <w:rPr>
          <w:sz w:val="22"/>
          <w:szCs w:val="22"/>
        </w:rPr>
        <w:t>Upload the zip file to the notebook environment using</w:t>
      </w:r>
      <w:r w:rsidRPr="004B772A">
        <w:rPr>
          <w:sz w:val="22"/>
          <w:szCs w:val="22"/>
        </w:rPr>
        <w:t xml:space="preserve"> the “Choose Files” </w:t>
      </w:r>
      <w:r>
        <w:rPr>
          <w:sz w:val="22"/>
          <w:szCs w:val="22"/>
        </w:rPr>
        <w:t>button:</w:t>
      </w:r>
    </w:p>
    <w:p w14:paraId="0FCDF770" w14:textId="77777777" w:rsidR="0083508F" w:rsidRDefault="0083508F" w:rsidP="0083508F">
      <w:pPr>
        <w:jc w:val="both"/>
        <w:rPr>
          <w:sz w:val="22"/>
          <w:szCs w:val="22"/>
        </w:rPr>
      </w:pPr>
    </w:p>
    <w:p w14:paraId="2273A9E6" w14:textId="6AEA7DE7" w:rsidR="0083508F" w:rsidRDefault="0083508F" w:rsidP="0083508F">
      <w:pPr>
        <w:jc w:val="both"/>
        <w:rPr>
          <w:sz w:val="22"/>
          <w:szCs w:val="22"/>
        </w:rPr>
      </w:pPr>
      <w:r w:rsidRPr="001B5C24">
        <w:rPr>
          <w:noProof/>
          <w:sz w:val="22"/>
          <w:szCs w:val="22"/>
        </w:rPr>
        <w:drawing>
          <wp:inline distT="0" distB="0" distL="0" distR="0" wp14:anchorId="40ED0360" wp14:editId="5FA74879">
            <wp:extent cx="4526672" cy="396274"/>
            <wp:effectExtent l="0" t="0" r="7620" b="381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4"/>
                    <a:stretch>
                      <a:fillRect/>
                    </a:stretch>
                  </pic:blipFill>
                  <pic:spPr>
                    <a:xfrm>
                      <a:off x="0" y="0"/>
                      <a:ext cx="4526672" cy="396274"/>
                    </a:xfrm>
                    <a:prstGeom prst="rect">
                      <a:avLst/>
                    </a:prstGeom>
                  </pic:spPr>
                </pic:pic>
              </a:graphicData>
            </a:graphic>
          </wp:inline>
        </w:drawing>
      </w:r>
    </w:p>
    <w:p w14:paraId="25F97250" w14:textId="77777777" w:rsidR="0083508F" w:rsidRPr="00313F8D" w:rsidRDefault="0083508F" w:rsidP="0083508F">
      <w:pPr>
        <w:rPr>
          <w:sz w:val="22"/>
          <w:szCs w:val="22"/>
        </w:rPr>
      </w:pPr>
    </w:p>
    <w:p w14:paraId="37A4904A" w14:textId="77777777" w:rsidR="0083508F" w:rsidRPr="0083508F" w:rsidRDefault="0083508F" w:rsidP="0083508F">
      <w:pPr>
        <w:jc w:val="both"/>
        <w:rPr>
          <w:sz w:val="22"/>
          <w:szCs w:val="22"/>
        </w:rPr>
      </w:pPr>
    </w:p>
    <w:p w14:paraId="21BEBC34" w14:textId="77777777" w:rsidR="002516B6" w:rsidRPr="0083508F" w:rsidRDefault="002516B6" w:rsidP="002516B6">
      <w:pPr>
        <w:jc w:val="both"/>
        <w:rPr>
          <w:sz w:val="22"/>
          <w:szCs w:val="22"/>
        </w:rPr>
      </w:pPr>
    </w:p>
    <w:p w14:paraId="557BF444" w14:textId="77777777" w:rsidR="002516B6" w:rsidRPr="0083508F" w:rsidRDefault="002516B6" w:rsidP="002516B6">
      <w:pPr>
        <w:rPr>
          <w:sz w:val="22"/>
          <w:szCs w:val="22"/>
        </w:rPr>
      </w:pPr>
    </w:p>
    <w:p w14:paraId="02DFBAA3" w14:textId="77777777" w:rsidR="002516B6" w:rsidRPr="0083508F" w:rsidRDefault="002516B6" w:rsidP="002516B6">
      <w:pPr>
        <w:rPr>
          <w:sz w:val="22"/>
          <w:szCs w:val="22"/>
        </w:rPr>
      </w:pPr>
    </w:p>
    <w:p w14:paraId="5C07BFF4" w14:textId="77777777" w:rsidR="002516B6" w:rsidRPr="0083508F" w:rsidRDefault="002516B6" w:rsidP="002516B6">
      <w:pPr>
        <w:rPr>
          <w:b/>
          <w:sz w:val="22"/>
          <w:szCs w:val="22"/>
        </w:rPr>
      </w:pPr>
    </w:p>
    <w:p w14:paraId="1595A4B2" w14:textId="20B582C4" w:rsidR="00A848D5" w:rsidRPr="0083508F" w:rsidRDefault="00A848D5" w:rsidP="0087777E">
      <w:pPr>
        <w:pStyle w:val="Header"/>
        <w:tabs>
          <w:tab w:val="clear" w:pos="4320"/>
          <w:tab w:val="clear" w:pos="8640"/>
          <w:tab w:val="left" w:pos="1080"/>
        </w:tabs>
        <w:ind w:left="360" w:hanging="360"/>
        <w:rPr>
          <w:sz w:val="22"/>
          <w:szCs w:val="22"/>
        </w:rPr>
      </w:pPr>
    </w:p>
    <w:sectPr w:rsidR="00A848D5" w:rsidRPr="0083508F" w:rsidSect="009B7DD7">
      <w:headerReference w:type="default" r:id="rId15"/>
      <w:footerReference w:type="default" r:id="rId16"/>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D787" w14:textId="77777777" w:rsidR="004B71D7" w:rsidRDefault="004B71D7">
      <w:r>
        <w:separator/>
      </w:r>
    </w:p>
  </w:endnote>
  <w:endnote w:type="continuationSeparator" w:id="0">
    <w:p w14:paraId="55B517D6" w14:textId="77777777" w:rsidR="004B71D7" w:rsidRDefault="004B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8C35" w14:textId="40D6AC82" w:rsidR="00184198" w:rsidRDefault="00184198">
    <w:pPr>
      <w:pStyle w:val="Footer"/>
    </w:pPr>
    <w:r>
      <w:rPr>
        <w:snapToGrid w:val="0"/>
      </w:rPr>
      <w:t xml:space="preserve">Page </w:t>
    </w:r>
    <w:r w:rsidR="00EF4ADF">
      <w:rPr>
        <w:snapToGrid w:val="0"/>
      </w:rPr>
      <w:fldChar w:fldCharType="begin"/>
    </w:r>
    <w:r>
      <w:rPr>
        <w:snapToGrid w:val="0"/>
      </w:rPr>
      <w:instrText xml:space="preserve"> PAGE </w:instrText>
    </w:r>
    <w:r w:rsidR="00EF4ADF">
      <w:rPr>
        <w:snapToGrid w:val="0"/>
      </w:rPr>
      <w:fldChar w:fldCharType="separate"/>
    </w:r>
    <w:r w:rsidR="00A96139">
      <w:rPr>
        <w:noProof/>
        <w:snapToGrid w:val="0"/>
      </w:rPr>
      <w:t>3</w:t>
    </w:r>
    <w:r w:rsidR="00EF4ADF">
      <w:rPr>
        <w:snapToGrid w:val="0"/>
      </w:rPr>
      <w:fldChar w:fldCharType="end"/>
    </w:r>
    <w:r>
      <w:rPr>
        <w:snapToGrid w:val="0"/>
      </w:rPr>
      <w:t xml:space="preserve"> of </w:t>
    </w:r>
    <w:r w:rsidR="00EF4ADF">
      <w:rPr>
        <w:snapToGrid w:val="0"/>
      </w:rPr>
      <w:fldChar w:fldCharType="begin"/>
    </w:r>
    <w:r>
      <w:rPr>
        <w:snapToGrid w:val="0"/>
      </w:rPr>
      <w:instrText xml:space="preserve"> NUMPAGES </w:instrText>
    </w:r>
    <w:r w:rsidR="00EF4ADF">
      <w:rPr>
        <w:snapToGrid w:val="0"/>
      </w:rPr>
      <w:fldChar w:fldCharType="separate"/>
    </w:r>
    <w:r w:rsidR="00A96139">
      <w:rPr>
        <w:noProof/>
        <w:snapToGrid w:val="0"/>
      </w:rPr>
      <w:t>3</w:t>
    </w:r>
    <w:r w:rsidR="00EF4ADF">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1E11" w14:textId="77777777" w:rsidR="004B71D7" w:rsidRDefault="004B71D7">
      <w:r>
        <w:separator/>
      </w:r>
    </w:p>
  </w:footnote>
  <w:footnote w:type="continuationSeparator" w:id="0">
    <w:p w14:paraId="19C558DD" w14:textId="77777777" w:rsidR="004B71D7" w:rsidRDefault="004B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FCE9" w14:textId="2F1247F7" w:rsidR="00A1458C" w:rsidRDefault="00A1458C" w:rsidP="00A1458C">
    <w:pPr>
      <w:pStyle w:val="Header"/>
      <w:jc w:val="right"/>
    </w:pPr>
    <w:r>
      <w:rPr>
        <w:noProof/>
      </w:rPr>
      <w:drawing>
        <wp:inline distT="0" distB="0" distL="0" distR="0" wp14:anchorId="4D4A3182" wp14:editId="5168F53A">
          <wp:extent cx="1975184" cy="417194"/>
          <wp:effectExtent l="0" t="0" r="6350" b="2540"/>
          <wp:docPr id="2" name="Picture 2" descr="NHERI SimCenter Leadership Transition | DesignSaf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ERI SimCenter Leadership Transition | DesignSafe-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494" cy="4261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3FD"/>
    <w:multiLevelType w:val="hybridMultilevel"/>
    <w:tmpl w:val="93BE5DFC"/>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82561"/>
    <w:multiLevelType w:val="hybridMultilevel"/>
    <w:tmpl w:val="6E2609C4"/>
    <w:lvl w:ilvl="0" w:tplc="09B22C4C">
      <w:start w:val="1"/>
      <w:numFmt w:val="bullet"/>
      <w:lvlText w:val="•"/>
      <w:lvlJc w:val="left"/>
      <w:pPr>
        <w:tabs>
          <w:tab w:val="num" w:pos="720"/>
        </w:tabs>
        <w:ind w:left="720" w:hanging="360"/>
      </w:pPr>
      <w:rPr>
        <w:rFonts w:ascii="Arial" w:hAnsi="Arial" w:hint="default"/>
      </w:rPr>
    </w:lvl>
    <w:lvl w:ilvl="1" w:tplc="BBEE501E" w:tentative="1">
      <w:start w:val="1"/>
      <w:numFmt w:val="bullet"/>
      <w:lvlText w:val="•"/>
      <w:lvlJc w:val="left"/>
      <w:pPr>
        <w:tabs>
          <w:tab w:val="num" w:pos="1440"/>
        </w:tabs>
        <w:ind w:left="1440" w:hanging="360"/>
      </w:pPr>
      <w:rPr>
        <w:rFonts w:ascii="Arial" w:hAnsi="Arial" w:hint="default"/>
      </w:rPr>
    </w:lvl>
    <w:lvl w:ilvl="2" w:tplc="00983856" w:tentative="1">
      <w:start w:val="1"/>
      <w:numFmt w:val="bullet"/>
      <w:lvlText w:val="•"/>
      <w:lvlJc w:val="left"/>
      <w:pPr>
        <w:tabs>
          <w:tab w:val="num" w:pos="2160"/>
        </w:tabs>
        <w:ind w:left="2160" w:hanging="360"/>
      </w:pPr>
      <w:rPr>
        <w:rFonts w:ascii="Arial" w:hAnsi="Arial" w:hint="default"/>
      </w:rPr>
    </w:lvl>
    <w:lvl w:ilvl="3" w:tplc="AC40C58E" w:tentative="1">
      <w:start w:val="1"/>
      <w:numFmt w:val="bullet"/>
      <w:lvlText w:val="•"/>
      <w:lvlJc w:val="left"/>
      <w:pPr>
        <w:tabs>
          <w:tab w:val="num" w:pos="2880"/>
        </w:tabs>
        <w:ind w:left="2880" w:hanging="360"/>
      </w:pPr>
      <w:rPr>
        <w:rFonts w:ascii="Arial" w:hAnsi="Arial" w:hint="default"/>
      </w:rPr>
    </w:lvl>
    <w:lvl w:ilvl="4" w:tplc="5B0A264A" w:tentative="1">
      <w:start w:val="1"/>
      <w:numFmt w:val="bullet"/>
      <w:lvlText w:val="•"/>
      <w:lvlJc w:val="left"/>
      <w:pPr>
        <w:tabs>
          <w:tab w:val="num" w:pos="3600"/>
        </w:tabs>
        <w:ind w:left="3600" w:hanging="360"/>
      </w:pPr>
      <w:rPr>
        <w:rFonts w:ascii="Arial" w:hAnsi="Arial" w:hint="default"/>
      </w:rPr>
    </w:lvl>
    <w:lvl w:ilvl="5" w:tplc="7284BF86" w:tentative="1">
      <w:start w:val="1"/>
      <w:numFmt w:val="bullet"/>
      <w:lvlText w:val="•"/>
      <w:lvlJc w:val="left"/>
      <w:pPr>
        <w:tabs>
          <w:tab w:val="num" w:pos="4320"/>
        </w:tabs>
        <w:ind w:left="4320" w:hanging="360"/>
      </w:pPr>
      <w:rPr>
        <w:rFonts w:ascii="Arial" w:hAnsi="Arial" w:hint="default"/>
      </w:rPr>
    </w:lvl>
    <w:lvl w:ilvl="6" w:tplc="0B44B3C4" w:tentative="1">
      <w:start w:val="1"/>
      <w:numFmt w:val="bullet"/>
      <w:lvlText w:val="•"/>
      <w:lvlJc w:val="left"/>
      <w:pPr>
        <w:tabs>
          <w:tab w:val="num" w:pos="5040"/>
        </w:tabs>
        <w:ind w:left="5040" w:hanging="360"/>
      </w:pPr>
      <w:rPr>
        <w:rFonts w:ascii="Arial" w:hAnsi="Arial" w:hint="default"/>
      </w:rPr>
    </w:lvl>
    <w:lvl w:ilvl="7" w:tplc="E7068B96" w:tentative="1">
      <w:start w:val="1"/>
      <w:numFmt w:val="bullet"/>
      <w:lvlText w:val="•"/>
      <w:lvlJc w:val="left"/>
      <w:pPr>
        <w:tabs>
          <w:tab w:val="num" w:pos="5760"/>
        </w:tabs>
        <w:ind w:left="5760" w:hanging="360"/>
      </w:pPr>
      <w:rPr>
        <w:rFonts w:ascii="Arial" w:hAnsi="Arial" w:hint="default"/>
      </w:rPr>
    </w:lvl>
    <w:lvl w:ilvl="8" w:tplc="9692D3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E14F1"/>
    <w:multiLevelType w:val="singleLevel"/>
    <w:tmpl w:val="04090011"/>
    <w:lvl w:ilvl="0">
      <w:start w:val="2"/>
      <w:numFmt w:val="decimal"/>
      <w:lvlText w:val="%1)"/>
      <w:lvlJc w:val="left"/>
      <w:pPr>
        <w:tabs>
          <w:tab w:val="num" w:pos="360"/>
        </w:tabs>
        <w:ind w:left="360" w:hanging="360"/>
      </w:pPr>
      <w:rPr>
        <w:rFonts w:hint="default"/>
      </w:rPr>
    </w:lvl>
  </w:abstractNum>
  <w:abstractNum w:abstractNumId="3" w15:restartNumberingAfterBreak="0">
    <w:nsid w:val="13461C57"/>
    <w:multiLevelType w:val="hybridMultilevel"/>
    <w:tmpl w:val="52BEBE88"/>
    <w:lvl w:ilvl="0" w:tplc="FFA62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628AE"/>
    <w:multiLevelType w:val="hybridMultilevel"/>
    <w:tmpl w:val="5B100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614158"/>
    <w:multiLevelType w:val="hybridMultilevel"/>
    <w:tmpl w:val="973C7D38"/>
    <w:lvl w:ilvl="0" w:tplc="02BC35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248C2"/>
    <w:multiLevelType w:val="hybridMultilevel"/>
    <w:tmpl w:val="0BAC1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94A5C"/>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82436F6"/>
    <w:multiLevelType w:val="hybridMultilevel"/>
    <w:tmpl w:val="6EA66DB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707F9"/>
    <w:multiLevelType w:val="hybridMultilevel"/>
    <w:tmpl w:val="F2BA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54A7F"/>
    <w:multiLevelType w:val="hybridMultilevel"/>
    <w:tmpl w:val="BB66ADA8"/>
    <w:lvl w:ilvl="0" w:tplc="97C282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772EC2"/>
    <w:multiLevelType w:val="singleLevel"/>
    <w:tmpl w:val="16ECBA02"/>
    <w:lvl w:ilvl="0">
      <w:start w:val="1"/>
      <w:numFmt w:val="lowerLetter"/>
      <w:lvlText w:val="(%1)"/>
      <w:lvlJc w:val="left"/>
      <w:pPr>
        <w:tabs>
          <w:tab w:val="num" w:pos="720"/>
        </w:tabs>
        <w:ind w:left="720" w:hanging="360"/>
      </w:pPr>
      <w:rPr>
        <w:rFonts w:hint="default"/>
      </w:rPr>
    </w:lvl>
  </w:abstractNum>
  <w:abstractNum w:abstractNumId="12" w15:restartNumberingAfterBreak="0">
    <w:nsid w:val="3A0F0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8A0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474BAC"/>
    <w:multiLevelType w:val="hybridMultilevel"/>
    <w:tmpl w:val="19DE9B1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44753"/>
    <w:multiLevelType w:val="hybridMultilevel"/>
    <w:tmpl w:val="D33A14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61C1A"/>
    <w:multiLevelType w:val="singleLevel"/>
    <w:tmpl w:val="04090017"/>
    <w:lvl w:ilvl="0">
      <w:start w:val="1"/>
      <w:numFmt w:val="lowerLetter"/>
      <w:lvlText w:val="%1)"/>
      <w:lvlJc w:val="left"/>
      <w:pPr>
        <w:tabs>
          <w:tab w:val="num" w:pos="360"/>
        </w:tabs>
        <w:ind w:left="360" w:hanging="360"/>
      </w:pPr>
      <w:rPr>
        <w:rFonts w:hint="default"/>
        <w:i w:val="0"/>
      </w:rPr>
    </w:lvl>
  </w:abstractNum>
  <w:abstractNum w:abstractNumId="17" w15:restartNumberingAfterBreak="0">
    <w:nsid w:val="52926770"/>
    <w:multiLevelType w:val="hybridMultilevel"/>
    <w:tmpl w:val="1AF81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8326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7B7FBA"/>
    <w:multiLevelType w:val="hybridMultilevel"/>
    <w:tmpl w:val="A800B4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60042F"/>
    <w:multiLevelType w:val="hybridMultilevel"/>
    <w:tmpl w:val="F3E43906"/>
    <w:lvl w:ilvl="0" w:tplc="0409000F">
      <w:start w:val="1"/>
      <w:numFmt w:val="decimal"/>
      <w:lvlText w:val="%1."/>
      <w:lvlJc w:val="left"/>
      <w:pPr>
        <w:tabs>
          <w:tab w:val="num" w:pos="720"/>
        </w:tabs>
        <w:ind w:left="720" w:hanging="360"/>
      </w:pPr>
      <w:rPr>
        <w:rFonts w:hint="default"/>
      </w:rPr>
    </w:lvl>
    <w:lvl w:ilvl="1" w:tplc="2710FD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6C12ED"/>
    <w:multiLevelType w:val="singleLevel"/>
    <w:tmpl w:val="6EDC5DAE"/>
    <w:lvl w:ilvl="0">
      <w:start w:val="1"/>
      <w:numFmt w:val="lowerLetter"/>
      <w:lvlText w:val="%1)"/>
      <w:lvlJc w:val="left"/>
      <w:pPr>
        <w:tabs>
          <w:tab w:val="num" w:pos="720"/>
        </w:tabs>
        <w:ind w:left="720" w:hanging="360"/>
      </w:pPr>
      <w:rPr>
        <w:rFonts w:hint="default"/>
      </w:rPr>
    </w:lvl>
  </w:abstractNum>
  <w:abstractNum w:abstractNumId="22" w15:restartNumberingAfterBreak="0">
    <w:nsid w:val="796559FB"/>
    <w:multiLevelType w:val="hybridMultilevel"/>
    <w:tmpl w:val="79702B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5238C7"/>
    <w:multiLevelType w:val="hybridMultilevel"/>
    <w:tmpl w:val="10D87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1310542">
    <w:abstractNumId w:val="7"/>
  </w:num>
  <w:num w:numId="2" w16cid:durableId="2005008653">
    <w:abstractNumId w:val="21"/>
  </w:num>
  <w:num w:numId="3" w16cid:durableId="763116398">
    <w:abstractNumId w:val="11"/>
  </w:num>
  <w:num w:numId="4" w16cid:durableId="1570579187">
    <w:abstractNumId w:val="13"/>
  </w:num>
  <w:num w:numId="5" w16cid:durableId="597560143">
    <w:abstractNumId w:val="16"/>
  </w:num>
  <w:num w:numId="6" w16cid:durableId="1155954228">
    <w:abstractNumId w:val="20"/>
  </w:num>
  <w:num w:numId="7" w16cid:durableId="1403597943">
    <w:abstractNumId w:val="15"/>
  </w:num>
  <w:num w:numId="8" w16cid:durableId="96679592">
    <w:abstractNumId w:val="19"/>
  </w:num>
  <w:num w:numId="9" w16cid:durableId="1645962024">
    <w:abstractNumId w:val="12"/>
  </w:num>
  <w:num w:numId="10" w16cid:durableId="904100938">
    <w:abstractNumId w:val="2"/>
  </w:num>
  <w:num w:numId="11" w16cid:durableId="370955988">
    <w:abstractNumId w:val="4"/>
  </w:num>
  <w:num w:numId="12" w16cid:durableId="1203129761">
    <w:abstractNumId w:val="22"/>
  </w:num>
  <w:num w:numId="13" w16cid:durableId="428043477">
    <w:abstractNumId w:val="17"/>
  </w:num>
  <w:num w:numId="14" w16cid:durableId="717704367">
    <w:abstractNumId w:val="14"/>
  </w:num>
  <w:num w:numId="15" w16cid:durableId="863061317">
    <w:abstractNumId w:val="3"/>
  </w:num>
  <w:num w:numId="16" w16cid:durableId="1508473676">
    <w:abstractNumId w:val="10"/>
  </w:num>
  <w:num w:numId="17" w16cid:durableId="1762529874">
    <w:abstractNumId w:val="23"/>
  </w:num>
  <w:num w:numId="18" w16cid:durableId="239677987">
    <w:abstractNumId w:val="6"/>
  </w:num>
  <w:num w:numId="19" w16cid:durableId="876511107">
    <w:abstractNumId w:val="1"/>
  </w:num>
  <w:num w:numId="20" w16cid:durableId="1887519965">
    <w:abstractNumId w:val="18"/>
  </w:num>
  <w:num w:numId="21" w16cid:durableId="1155418971">
    <w:abstractNumId w:val="9"/>
  </w:num>
  <w:num w:numId="22" w16cid:durableId="1126388521">
    <w:abstractNumId w:val="8"/>
  </w:num>
  <w:num w:numId="23" w16cid:durableId="151223229">
    <w:abstractNumId w:val="0"/>
  </w:num>
  <w:num w:numId="24" w16cid:durableId="1205755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30"/>
    <w:rsid w:val="00011AC1"/>
    <w:rsid w:val="00025AB6"/>
    <w:rsid w:val="00025D02"/>
    <w:rsid w:val="00034419"/>
    <w:rsid w:val="000351B3"/>
    <w:rsid w:val="00047250"/>
    <w:rsid w:val="00050754"/>
    <w:rsid w:val="00071D90"/>
    <w:rsid w:val="000732C8"/>
    <w:rsid w:val="000808F9"/>
    <w:rsid w:val="0008548B"/>
    <w:rsid w:val="00095296"/>
    <w:rsid w:val="00095A66"/>
    <w:rsid w:val="000A4644"/>
    <w:rsid w:val="000A62C7"/>
    <w:rsid w:val="000B6EC6"/>
    <w:rsid w:val="000B7929"/>
    <w:rsid w:val="000B7E11"/>
    <w:rsid w:val="000C5AD2"/>
    <w:rsid w:val="000F24CF"/>
    <w:rsid w:val="00112443"/>
    <w:rsid w:val="001260D4"/>
    <w:rsid w:val="00137743"/>
    <w:rsid w:val="00150C0A"/>
    <w:rsid w:val="00155090"/>
    <w:rsid w:val="00164418"/>
    <w:rsid w:val="00165730"/>
    <w:rsid w:val="00184198"/>
    <w:rsid w:val="0019309C"/>
    <w:rsid w:val="00197BFF"/>
    <w:rsid w:val="001D3E27"/>
    <w:rsid w:val="001D5EFD"/>
    <w:rsid w:val="001E670A"/>
    <w:rsid w:val="00200941"/>
    <w:rsid w:val="002065B5"/>
    <w:rsid w:val="002117F1"/>
    <w:rsid w:val="00217727"/>
    <w:rsid w:val="002300FF"/>
    <w:rsid w:val="00231FB7"/>
    <w:rsid w:val="00234335"/>
    <w:rsid w:val="002516B6"/>
    <w:rsid w:val="00254385"/>
    <w:rsid w:val="00264B38"/>
    <w:rsid w:val="002931BF"/>
    <w:rsid w:val="002B0AB0"/>
    <w:rsid w:val="002D6F89"/>
    <w:rsid w:val="002E2B25"/>
    <w:rsid w:val="002F47F5"/>
    <w:rsid w:val="00323C99"/>
    <w:rsid w:val="0034352C"/>
    <w:rsid w:val="0034654F"/>
    <w:rsid w:val="003562B4"/>
    <w:rsid w:val="00362D57"/>
    <w:rsid w:val="00364258"/>
    <w:rsid w:val="003848F5"/>
    <w:rsid w:val="003A195D"/>
    <w:rsid w:val="003A4BAE"/>
    <w:rsid w:val="003B3A08"/>
    <w:rsid w:val="003D09F0"/>
    <w:rsid w:val="003E1338"/>
    <w:rsid w:val="003E3C41"/>
    <w:rsid w:val="003F44C7"/>
    <w:rsid w:val="00411A26"/>
    <w:rsid w:val="00412158"/>
    <w:rsid w:val="00415EC3"/>
    <w:rsid w:val="00452C4A"/>
    <w:rsid w:val="00476F4F"/>
    <w:rsid w:val="00477A50"/>
    <w:rsid w:val="00486EFE"/>
    <w:rsid w:val="004A197D"/>
    <w:rsid w:val="004B3CA0"/>
    <w:rsid w:val="004B71D7"/>
    <w:rsid w:val="004D6FA3"/>
    <w:rsid w:val="004F09C0"/>
    <w:rsid w:val="005007C5"/>
    <w:rsid w:val="00504F47"/>
    <w:rsid w:val="0050537D"/>
    <w:rsid w:val="00522689"/>
    <w:rsid w:val="00525900"/>
    <w:rsid w:val="005539A6"/>
    <w:rsid w:val="0056237C"/>
    <w:rsid w:val="005648EB"/>
    <w:rsid w:val="005822F7"/>
    <w:rsid w:val="00584BD2"/>
    <w:rsid w:val="005A42CB"/>
    <w:rsid w:val="005B3635"/>
    <w:rsid w:val="005B44FC"/>
    <w:rsid w:val="005B4969"/>
    <w:rsid w:val="005C2051"/>
    <w:rsid w:val="005C408E"/>
    <w:rsid w:val="005C776F"/>
    <w:rsid w:val="005D6911"/>
    <w:rsid w:val="005D6CC0"/>
    <w:rsid w:val="005E6D1F"/>
    <w:rsid w:val="005F0E21"/>
    <w:rsid w:val="005F1CB8"/>
    <w:rsid w:val="005F50BE"/>
    <w:rsid w:val="005F6CC8"/>
    <w:rsid w:val="00612C93"/>
    <w:rsid w:val="006160E5"/>
    <w:rsid w:val="00653BC9"/>
    <w:rsid w:val="0065407F"/>
    <w:rsid w:val="0066188D"/>
    <w:rsid w:val="00663EF5"/>
    <w:rsid w:val="00672D57"/>
    <w:rsid w:val="0068314A"/>
    <w:rsid w:val="006A68AF"/>
    <w:rsid w:val="006B112A"/>
    <w:rsid w:val="006B1C2C"/>
    <w:rsid w:val="006B3503"/>
    <w:rsid w:val="006C7F48"/>
    <w:rsid w:val="006D5716"/>
    <w:rsid w:val="006F0472"/>
    <w:rsid w:val="006F111A"/>
    <w:rsid w:val="007016E6"/>
    <w:rsid w:val="00721FDD"/>
    <w:rsid w:val="0073040C"/>
    <w:rsid w:val="00750718"/>
    <w:rsid w:val="007609D1"/>
    <w:rsid w:val="0076181C"/>
    <w:rsid w:val="007673C6"/>
    <w:rsid w:val="007A6D90"/>
    <w:rsid w:val="007B5F78"/>
    <w:rsid w:val="007C7419"/>
    <w:rsid w:val="007D663A"/>
    <w:rsid w:val="007D775C"/>
    <w:rsid w:val="007E7F6D"/>
    <w:rsid w:val="007F21BA"/>
    <w:rsid w:val="00830EC4"/>
    <w:rsid w:val="0083508F"/>
    <w:rsid w:val="00853932"/>
    <w:rsid w:val="0086222B"/>
    <w:rsid w:val="00876556"/>
    <w:rsid w:val="0087777E"/>
    <w:rsid w:val="00880502"/>
    <w:rsid w:val="00883BB3"/>
    <w:rsid w:val="00883DBE"/>
    <w:rsid w:val="008921D9"/>
    <w:rsid w:val="008B586D"/>
    <w:rsid w:val="008E7CF5"/>
    <w:rsid w:val="009138C9"/>
    <w:rsid w:val="00916718"/>
    <w:rsid w:val="00930568"/>
    <w:rsid w:val="00932660"/>
    <w:rsid w:val="00940C3C"/>
    <w:rsid w:val="00945A66"/>
    <w:rsid w:val="009623A9"/>
    <w:rsid w:val="009645A5"/>
    <w:rsid w:val="009672DE"/>
    <w:rsid w:val="00975571"/>
    <w:rsid w:val="00993AB5"/>
    <w:rsid w:val="009B2647"/>
    <w:rsid w:val="009B7DD7"/>
    <w:rsid w:val="009F3E98"/>
    <w:rsid w:val="00A04080"/>
    <w:rsid w:val="00A1458C"/>
    <w:rsid w:val="00A1473E"/>
    <w:rsid w:val="00A418AA"/>
    <w:rsid w:val="00A47BCC"/>
    <w:rsid w:val="00A52502"/>
    <w:rsid w:val="00A60752"/>
    <w:rsid w:val="00A81B4B"/>
    <w:rsid w:val="00A848D5"/>
    <w:rsid w:val="00A96139"/>
    <w:rsid w:val="00AA1651"/>
    <w:rsid w:val="00AB0C15"/>
    <w:rsid w:val="00AB2C8D"/>
    <w:rsid w:val="00AB6E54"/>
    <w:rsid w:val="00AC3207"/>
    <w:rsid w:val="00AC34EA"/>
    <w:rsid w:val="00AE75E8"/>
    <w:rsid w:val="00AF0315"/>
    <w:rsid w:val="00AF506F"/>
    <w:rsid w:val="00AF6CE2"/>
    <w:rsid w:val="00B32787"/>
    <w:rsid w:val="00B63DBE"/>
    <w:rsid w:val="00B64534"/>
    <w:rsid w:val="00B66CD4"/>
    <w:rsid w:val="00B67B63"/>
    <w:rsid w:val="00B7250E"/>
    <w:rsid w:val="00B83AE0"/>
    <w:rsid w:val="00B87079"/>
    <w:rsid w:val="00B95D61"/>
    <w:rsid w:val="00BA1994"/>
    <w:rsid w:val="00BB4DF0"/>
    <w:rsid w:val="00BE130F"/>
    <w:rsid w:val="00BF3015"/>
    <w:rsid w:val="00BF3A1F"/>
    <w:rsid w:val="00C13A6A"/>
    <w:rsid w:val="00C15337"/>
    <w:rsid w:val="00C37B61"/>
    <w:rsid w:val="00C57629"/>
    <w:rsid w:val="00C632F2"/>
    <w:rsid w:val="00C63C86"/>
    <w:rsid w:val="00C66723"/>
    <w:rsid w:val="00C72AE3"/>
    <w:rsid w:val="00C76964"/>
    <w:rsid w:val="00C801F8"/>
    <w:rsid w:val="00C87495"/>
    <w:rsid w:val="00CD6979"/>
    <w:rsid w:val="00CE3AD1"/>
    <w:rsid w:val="00CE5E95"/>
    <w:rsid w:val="00D12CFD"/>
    <w:rsid w:val="00D2294E"/>
    <w:rsid w:val="00D248B6"/>
    <w:rsid w:val="00D24B69"/>
    <w:rsid w:val="00D319B3"/>
    <w:rsid w:val="00D47D6D"/>
    <w:rsid w:val="00D52C62"/>
    <w:rsid w:val="00D603C7"/>
    <w:rsid w:val="00D666A0"/>
    <w:rsid w:val="00D719E7"/>
    <w:rsid w:val="00D76CE8"/>
    <w:rsid w:val="00D86D3D"/>
    <w:rsid w:val="00D902F3"/>
    <w:rsid w:val="00DB384A"/>
    <w:rsid w:val="00DB6584"/>
    <w:rsid w:val="00DC53BA"/>
    <w:rsid w:val="00E23AD6"/>
    <w:rsid w:val="00E67E78"/>
    <w:rsid w:val="00E83BC2"/>
    <w:rsid w:val="00E864DE"/>
    <w:rsid w:val="00EB0B14"/>
    <w:rsid w:val="00EB546E"/>
    <w:rsid w:val="00EB7D05"/>
    <w:rsid w:val="00EC57BA"/>
    <w:rsid w:val="00ED13E2"/>
    <w:rsid w:val="00ED5C5E"/>
    <w:rsid w:val="00EE124E"/>
    <w:rsid w:val="00EF4ADF"/>
    <w:rsid w:val="00F009A5"/>
    <w:rsid w:val="00F02979"/>
    <w:rsid w:val="00F115C6"/>
    <w:rsid w:val="00F11927"/>
    <w:rsid w:val="00F237C9"/>
    <w:rsid w:val="00F2767D"/>
    <w:rsid w:val="00F46526"/>
    <w:rsid w:val="00F544EB"/>
    <w:rsid w:val="00F56BCD"/>
    <w:rsid w:val="00F61F34"/>
    <w:rsid w:val="00F72F03"/>
    <w:rsid w:val="00FB76F7"/>
    <w:rsid w:val="00FC5F97"/>
    <w:rsid w:val="00FD4186"/>
    <w:rsid w:val="00FD611A"/>
    <w:rsid w:val="00FE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290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8F5"/>
  </w:style>
  <w:style w:type="paragraph" w:styleId="Heading1">
    <w:name w:val="heading 1"/>
    <w:basedOn w:val="Normal"/>
    <w:next w:val="Normal"/>
    <w:qFormat/>
    <w:rsid w:val="003848F5"/>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48F5"/>
    <w:rPr>
      <w:sz w:val="24"/>
    </w:rPr>
  </w:style>
  <w:style w:type="paragraph" w:styleId="BodyTextIndent">
    <w:name w:val="Body Text Indent"/>
    <w:basedOn w:val="Normal"/>
    <w:rsid w:val="003848F5"/>
    <w:pPr>
      <w:ind w:left="360"/>
    </w:pPr>
    <w:rPr>
      <w:bCs/>
    </w:rPr>
  </w:style>
  <w:style w:type="paragraph" w:styleId="Header">
    <w:name w:val="header"/>
    <w:basedOn w:val="Normal"/>
    <w:link w:val="HeaderChar"/>
    <w:rsid w:val="003848F5"/>
    <w:pPr>
      <w:tabs>
        <w:tab w:val="center" w:pos="4320"/>
        <w:tab w:val="right" w:pos="8640"/>
      </w:tabs>
    </w:pPr>
  </w:style>
  <w:style w:type="paragraph" w:styleId="Footer">
    <w:name w:val="footer"/>
    <w:basedOn w:val="Normal"/>
    <w:rsid w:val="003848F5"/>
    <w:pPr>
      <w:tabs>
        <w:tab w:val="center" w:pos="4320"/>
        <w:tab w:val="right" w:pos="8640"/>
      </w:tabs>
    </w:pPr>
  </w:style>
  <w:style w:type="character" w:customStyle="1" w:styleId="HeaderChar">
    <w:name w:val="Header Char"/>
    <w:basedOn w:val="DefaultParagraphFont"/>
    <w:link w:val="Header"/>
    <w:rsid w:val="00B66CD4"/>
  </w:style>
  <w:style w:type="character" w:styleId="PlaceholderText">
    <w:name w:val="Placeholder Text"/>
    <w:basedOn w:val="DefaultParagraphFont"/>
    <w:uiPriority w:val="99"/>
    <w:semiHidden/>
    <w:rsid w:val="001D5EFD"/>
    <w:rPr>
      <w:color w:val="808080"/>
    </w:rPr>
  </w:style>
  <w:style w:type="paragraph" w:styleId="BalloonText">
    <w:name w:val="Balloon Text"/>
    <w:basedOn w:val="Normal"/>
    <w:link w:val="BalloonTextChar"/>
    <w:rsid w:val="001D5EFD"/>
    <w:rPr>
      <w:rFonts w:ascii="Tahoma" w:hAnsi="Tahoma" w:cs="Tahoma"/>
      <w:sz w:val="16"/>
      <w:szCs w:val="16"/>
    </w:rPr>
  </w:style>
  <w:style w:type="character" w:customStyle="1" w:styleId="BalloonTextChar">
    <w:name w:val="Balloon Text Char"/>
    <w:basedOn w:val="DefaultParagraphFont"/>
    <w:link w:val="BalloonText"/>
    <w:rsid w:val="001D5EFD"/>
    <w:rPr>
      <w:rFonts w:ascii="Tahoma" w:hAnsi="Tahoma" w:cs="Tahoma"/>
      <w:sz w:val="16"/>
      <w:szCs w:val="16"/>
    </w:rPr>
  </w:style>
  <w:style w:type="paragraph" w:styleId="ListParagraph">
    <w:name w:val="List Paragraph"/>
    <w:basedOn w:val="Normal"/>
    <w:uiPriority w:val="34"/>
    <w:qFormat/>
    <w:rsid w:val="00D248B6"/>
    <w:pPr>
      <w:ind w:left="720"/>
      <w:contextualSpacing/>
    </w:pPr>
  </w:style>
  <w:style w:type="character" w:styleId="Hyperlink">
    <w:name w:val="Hyperlink"/>
    <w:basedOn w:val="DefaultParagraphFont"/>
    <w:uiPriority w:val="99"/>
    <w:unhideWhenUsed/>
    <w:rsid w:val="0087777E"/>
    <w:rPr>
      <w:color w:val="0000FF" w:themeColor="hyperlink"/>
      <w:u w:val="single"/>
    </w:rPr>
  </w:style>
  <w:style w:type="paragraph" w:styleId="Revision">
    <w:name w:val="Revision"/>
    <w:hidden/>
    <w:uiPriority w:val="99"/>
    <w:semiHidden/>
    <w:rsid w:val="00E83BC2"/>
  </w:style>
  <w:style w:type="character" w:styleId="CommentReference">
    <w:name w:val="annotation reference"/>
    <w:basedOn w:val="DefaultParagraphFont"/>
    <w:semiHidden/>
    <w:unhideWhenUsed/>
    <w:rsid w:val="00E83BC2"/>
    <w:rPr>
      <w:sz w:val="16"/>
      <w:szCs w:val="16"/>
    </w:rPr>
  </w:style>
  <w:style w:type="paragraph" w:styleId="CommentText">
    <w:name w:val="annotation text"/>
    <w:basedOn w:val="Normal"/>
    <w:link w:val="CommentTextChar"/>
    <w:semiHidden/>
    <w:unhideWhenUsed/>
    <w:rsid w:val="00E83BC2"/>
  </w:style>
  <w:style w:type="character" w:customStyle="1" w:styleId="CommentTextChar">
    <w:name w:val="Comment Text Char"/>
    <w:basedOn w:val="DefaultParagraphFont"/>
    <w:link w:val="CommentText"/>
    <w:semiHidden/>
    <w:rsid w:val="00E83BC2"/>
  </w:style>
  <w:style w:type="paragraph" w:styleId="CommentSubject">
    <w:name w:val="annotation subject"/>
    <w:basedOn w:val="CommentText"/>
    <w:next w:val="CommentText"/>
    <w:link w:val="CommentSubjectChar"/>
    <w:semiHidden/>
    <w:unhideWhenUsed/>
    <w:rsid w:val="00E83BC2"/>
    <w:rPr>
      <w:b/>
      <w:bCs/>
    </w:rPr>
  </w:style>
  <w:style w:type="character" w:customStyle="1" w:styleId="CommentSubjectChar">
    <w:name w:val="Comment Subject Char"/>
    <w:basedOn w:val="CommentTextChar"/>
    <w:link w:val="CommentSubject"/>
    <w:semiHidden/>
    <w:rsid w:val="00E83BC2"/>
    <w:rPr>
      <w:b/>
      <w:bCs/>
    </w:rPr>
  </w:style>
  <w:style w:type="character" w:styleId="UnresolvedMention">
    <w:name w:val="Unresolved Mention"/>
    <w:basedOn w:val="DefaultParagraphFont"/>
    <w:uiPriority w:val="99"/>
    <w:semiHidden/>
    <w:unhideWhenUsed/>
    <w:rsid w:val="0056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422">
      <w:bodyDiv w:val="1"/>
      <w:marLeft w:val="0"/>
      <w:marRight w:val="0"/>
      <w:marTop w:val="0"/>
      <w:marBottom w:val="0"/>
      <w:divBdr>
        <w:top w:val="none" w:sz="0" w:space="0" w:color="auto"/>
        <w:left w:val="none" w:sz="0" w:space="0" w:color="auto"/>
        <w:bottom w:val="none" w:sz="0" w:space="0" w:color="auto"/>
        <w:right w:val="none" w:sz="0" w:space="0" w:color="auto"/>
      </w:divBdr>
      <w:divsChild>
        <w:div w:id="1586840748">
          <w:marLeft w:val="360"/>
          <w:marRight w:val="0"/>
          <w:marTop w:val="200"/>
          <w:marBottom w:val="0"/>
          <w:divBdr>
            <w:top w:val="none" w:sz="0" w:space="0" w:color="auto"/>
            <w:left w:val="none" w:sz="0" w:space="0" w:color="auto"/>
            <w:bottom w:val="none" w:sz="0" w:space="0" w:color="auto"/>
            <w:right w:val="none" w:sz="0" w:space="0" w:color="auto"/>
          </w:divBdr>
        </w:div>
        <w:div w:id="1666013264">
          <w:marLeft w:val="360"/>
          <w:marRight w:val="0"/>
          <w:marTop w:val="200"/>
          <w:marBottom w:val="0"/>
          <w:divBdr>
            <w:top w:val="none" w:sz="0" w:space="0" w:color="auto"/>
            <w:left w:val="none" w:sz="0" w:space="0" w:color="auto"/>
            <w:bottom w:val="none" w:sz="0" w:space="0" w:color="auto"/>
            <w:right w:val="none" w:sz="0" w:space="0" w:color="auto"/>
          </w:divBdr>
        </w:div>
        <w:div w:id="20909288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safe-ci.org/data/browser/public/designsafe.storage.community//SimCenter/Software/EE_UQ"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ignsafe-ci.org/account/regis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imcenter.designsafe-ci.org/research-tools/ee-uq-application/"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ACAC-A254-4B5E-A2A1-93DF2767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Pages>
  <Words>1143</Words>
  <Characters>6518</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CEE 283 Nonlinear Structural Analysis</vt:lpstr>
      <vt:lpstr>CEE 283 Nonlinear Structural Analysis</vt:lpstr>
    </vt:vector>
  </TitlesOfParts>
  <Company>Stanford University</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 283 Nonlinear Structural Analysis</dc:title>
  <dc:creator>Administrator</dc:creator>
  <cp:lastModifiedBy>Francisco Galvis</cp:lastModifiedBy>
  <cp:revision>60</cp:revision>
  <cp:lastPrinted>2021-02-21T23:03:00Z</cp:lastPrinted>
  <dcterms:created xsi:type="dcterms:W3CDTF">2022-12-19T18:29:00Z</dcterms:created>
  <dcterms:modified xsi:type="dcterms:W3CDTF">2023-03-02T14:44:00Z</dcterms:modified>
</cp:coreProperties>
</file>